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1C9C" w14:textId="77777777" w:rsidR="00520A50" w:rsidRDefault="00520A50" w:rsidP="00520A50">
      <w:pPr>
        <w:pBdr>
          <w:top w:val="single" w:sz="4" w:space="1" w:color="auto"/>
        </w:pBdr>
        <w:jc w:val="center"/>
        <w:rPr>
          <w:b/>
          <w:bCs/>
          <w:color w:val="FF0000"/>
          <w:sz w:val="32"/>
          <w:szCs w:val="32"/>
        </w:rPr>
      </w:pPr>
      <w:r w:rsidRPr="00A563AA">
        <w:rPr>
          <w:b/>
          <w:bCs/>
          <w:color w:val="FF0000"/>
          <w:sz w:val="32"/>
          <w:szCs w:val="32"/>
        </w:rPr>
        <w:t>NOTES TO AUTHOR</w:t>
      </w:r>
      <w:r>
        <w:rPr>
          <w:b/>
          <w:bCs/>
          <w:color w:val="FF0000"/>
          <w:sz w:val="32"/>
          <w:szCs w:val="32"/>
        </w:rPr>
        <w:t xml:space="preserve">S ON POEMS TEMPLATE </w:t>
      </w:r>
    </w:p>
    <w:p w14:paraId="50D66829" w14:textId="77777777" w:rsidR="00520A50" w:rsidRPr="00A563AA" w:rsidRDefault="00520A50" w:rsidP="00520A50">
      <w:pPr>
        <w:pBdr>
          <w:top w:val="single" w:sz="4" w:space="1" w:color="auto"/>
        </w:pBdr>
        <w:jc w:val="center"/>
        <w:rPr>
          <w:b/>
          <w:bCs/>
          <w:color w:val="FF0000"/>
          <w:sz w:val="32"/>
          <w:szCs w:val="32"/>
        </w:rPr>
      </w:pPr>
      <w:r>
        <w:rPr>
          <w:b/>
          <w:bCs/>
          <w:color w:val="FF0000"/>
          <w:sz w:val="32"/>
          <w:szCs w:val="32"/>
        </w:rPr>
        <w:t>AND REVIEW PROCESS</w:t>
      </w:r>
    </w:p>
    <w:p w14:paraId="4C66BE6B" w14:textId="77777777" w:rsidR="00520A50" w:rsidRDefault="00520A50" w:rsidP="00520A50">
      <w:pPr>
        <w:jc w:val="center"/>
      </w:pPr>
    </w:p>
    <w:p w14:paraId="1CA3DA54" w14:textId="77777777" w:rsidR="00520A50" w:rsidRDefault="00520A50" w:rsidP="00520A50">
      <w:pPr>
        <w:jc w:val="center"/>
      </w:pPr>
      <w:r>
        <w:t>(Remove these pages before sending the POEMS for review)</w:t>
      </w:r>
    </w:p>
    <w:p w14:paraId="54FB789E" w14:textId="77777777" w:rsidR="00520A50" w:rsidRDefault="00520A50" w:rsidP="00520A50">
      <w:pPr>
        <w:jc w:val="center"/>
      </w:pPr>
    </w:p>
    <w:p w14:paraId="4E4F36C4" w14:textId="77777777" w:rsidR="00520A50" w:rsidRDefault="00520A50" w:rsidP="00520A50">
      <w:pPr>
        <w:jc w:val="center"/>
      </w:pPr>
    </w:p>
    <w:p w14:paraId="4FF4D039" w14:textId="27103065" w:rsidR="00520A50" w:rsidRDefault="00654299" w:rsidP="00F704C7">
      <w:pPr>
        <w:pStyle w:val="ListParagraph"/>
        <w:numPr>
          <w:ilvl w:val="0"/>
          <w:numId w:val="5"/>
        </w:numPr>
        <w:tabs>
          <w:tab w:val="left" w:pos="1080"/>
        </w:tabs>
        <w:ind w:left="1080" w:hanging="1080"/>
      </w:pPr>
      <w:r>
        <w:t>T</w:t>
      </w:r>
      <w:r w:rsidR="00520A50" w:rsidRPr="00A76D80">
        <w:t>his is a guide</w:t>
      </w:r>
      <w:r w:rsidR="005418E3">
        <w:t>,</w:t>
      </w:r>
      <w:r w:rsidR="00520A50" w:rsidRPr="00A76D80">
        <w:t xml:space="preserve"> not a fill</w:t>
      </w:r>
      <w:r w:rsidR="005418E3">
        <w:t>-</w:t>
      </w:r>
      <w:r w:rsidR="00520A50" w:rsidRPr="00A76D80">
        <w:t>in</w:t>
      </w:r>
      <w:r w:rsidR="005418E3">
        <w:t>-</w:t>
      </w:r>
      <w:r w:rsidR="00520A50" w:rsidRPr="00A76D80">
        <w:t>the</w:t>
      </w:r>
      <w:r w:rsidR="005418E3">
        <w:t>-</w:t>
      </w:r>
      <w:r w:rsidR="00520A50" w:rsidRPr="00A76D80">
        <w:t>blank exercise</w:t>
      </w:r>
      <w:r w:rsidR="00520A50">
        <w:t xml:space="preserve">. </w:t>
      </w:r>
    </w:p>
    <w:p w14:paraId="7DE4FE6F" w14:textId="77777777" w:rsidR="00520A50" w:rsidRDefault="00520A50" w:rsidP="00520A50">
      <w:pPr>
        <w:pStyle w:val="ListParagraph"/>
        <w:tabs>
          <w:tab w:val="left" w:pos="1080"/>
        </w:tabs>
        <w:ind w:left="1080"/>
      </w:pPr>
    </w:p>
    <w:p w14:paraId="5501DF76" w14:textId="77777777" w:rsidR="00520A50" w:rsidRDefault="00520A50" w:rsidP="00F704C7">
      <w:pPr>
        <w:pStyle w:val="ListParagraph"/>
        <w:numPr>
          <w:ilvl w:val="0"/>
          <w:numId w:val="5"/>
        </w:numPr>
        <w:tabs>
          <w:tab w:val="left" w:pos="1080"/>
        </w:tabs>
        <w:ind w:left="1080" w:hanging="1080"/>
      </w:pPr>
      <w:r>
        <w:t xml:space="preserve">Revise the </w:t>
      </w:r>
      <w:r w:rsidRPr="004A217D">
        <w:rPr>
          <w:highlight w:val="yellow"/>
        </w:rPr>
        <w:t xml:space="preserve">yellow </w:t>
      </w:r>
      <w:r w:rsidRPr="006B6F10">
        <w:t xml:space="preserve">and </w:t>
      </w:r>
      <w:r w:rsidRPr="006B6F10">
        <w:rPr>
          <w:highlight w:val="green"/>
        </w:rPr>
        <w:t>green</w:t>
      </w:r>
      <w:r w:rsidRPr="006B6F10">
        <w:t xml:space="preserve"> highlighted</w:t>
      </w:r>
      <w:r>
        <w:t xml:space="preserve"> text according to the information available for your location(s)</w:t>
      </w:r>
    </w:p>
    <w:p w14:paraId="43E68483" w14:textId="77777777" w:rsidR="00520A50" w:rsidRDefault="00520A50" w:rsidP="00520A50">
      <w:pPr>
        <w:pStyle w:val="ListParagraph"/>
        <w:tabs>
          <w:tab w:val="left" w:pos="1080"/>
        </w:tabs>
        <w:ind w:left="1080"/>
      </w:pPr>
    </w:p>
    <w:p w14:paraId="7D767CD6" w14:textId="0C3A29E1" w:rsidR="00520A50" w:rsidRDefault="00520A50" w:rsidP="00F704C7">
      <w:pPr>
        <w:pStyle w:val="ListParagraph"/>
        <w:numPr>
          <w:ilvl w:val="0"/>
          <w:numId w:val="5"/>
        </w:numPr>
        <w:tabs>
          <w:tab w:val="left" w:pos="1080"/>
        </w:tabs>
        <w:ind w:left="1080" w:hanging="1080"/>
      </w:pPr>
      <w:r>
        <w:t xml:space="preserve">Pay attention to </w:t>
      </w:r>
      <w:r w:rsidR="001D3336">
        <w:t>the</w:t>
      </w:r>
      <w:r>
        <w:t xml:space="preserve"> notes. The main sections are required</w:t>
      </w:r>
      <w:r w:rsidR="005418E3">
        <w:t>;</w:t>
      </w:r>
      <w:r>
        <w:t xml:space="preserve"> </w:t>
      </w:r>
      <w:r w:rsidR="005418E3">
        <w:t xml:space="preserve">however, if sections </w:t>
      </w:r>
      <w:r>
        <w:t xml:space="preserve">below </w:t>
      </w:r>
      <w:r w:rsidR="005418E3">
        <w:t>the main ones are not needed, they</w:t>
      </w:r>
      <w:r>
        <w:t xml:space="preserve"> can </w:t>
      </w:r>
      <w:r w:rsidR="005418E3">
        <w:t xml:space="preserve">be </w:t>
      </w:r>
      <w:r>
        <w:t>remove</w:t>
      </w:r>
      <w:r w:rsidR="005418E3">
        <w:t>d</w:t>
      </w:r>
      <w:r>
        <w:t xml:space="preserve"> </w:t>
      </w:r>
      <w:r w:rsidR="00E512A8">
        <w:t xml:space="preserve">(e.g., </w:t>
      </w:r>
      <w:r>
        <w:t>if there are no PM</w:t>
      </w:r>
      <w:r w:rsidRPr="00BB2631">
        <w:rPr>
          <w:rStyle w:val="StyleSubscript"/>
        </w:rPr>
        <w:t>10</w:t>
      </w:r>
      <w:r>
        <w:t xml:space="preserve"> samples</w:t>
      </w:r>
      <w:r w:rsidR="005418E3">
        <w:t>,</w:t>
      </w:r>
      <w:r>
        <w:t xml:space="preserve"> you can exclude that section</w:t>
      </w:r>
      <w:r w:rsidR="00E512A8">
        <w:t>)</w:t>
      </w:r>
      <w:r>
        <w:t xml:space="preserve">. </w:t>
      </w:r>
    </w:p>
    <w:p w14:paraId="45A0297C" w14:textId="77777777" w:rsidR="00520A50" w:rsidRDefault="00520A50" w:rsidP="00520A50">
      <w:pPr>
        <w:pStyle w:val="ListParagraph"/>
      </w:pPr>
    </w:p>
    <w:p w14:paraId="2C644ABF" w14:textId="1595A927" w:rsidR="00520A50" w:rsidRDefault="00520A50" w:rsidP="00F704C7">
      <w:pPr>
        <w:pStyle w:val="ListParagraph"/>
        <w:numPr>
          <w:ilvl w:val="0"/>
          <w:numId w:val="5"/>
        </w:numPr>
        <w:tabs>
          <w:tab w:val="left" w:pos="1080"/>
        </w:tabs>
        <w:ind w:left="1080" w:hanging="1080"/>
      </w:pPr>
      <w:r>
        <w:t xml:space="preserve">Please keep </w:t>
      </w:r>
      <w:r w:rsidR="005418E3">
        <w:t xml:space="preserve">standard editing rules </w:t>
      </w:r>
      <w:r>
        <w:t xml:space="preserve">in mind </w:t>
      </w:r>
      <w:r w:rsidR="00882A4F">
        <w:t>(e</w:t>
      </w:r>
      <w:r>
        <w:rPr>
          <w:i/>
          <w:iCs/>
        </w:rPr>
        <w:t>.</w:t>
      </w:r>
      <w:r w:rsidRPr="00AA196F">
        <w:t>g.,</w:t>
      </w:r>
      <w:r>
        <w:rPr>
          <w:i/>
          <w:iCs/>
        </w:rPr>
        <w:t xml:space="preserve"> </w:t>
      </w:r>
      <w:r w:rsidRPr="0055779C">
        <w:t>y</w:t>
      </w:r>
      <w:r>
        <w:t>ou need two subheadings in a section</w:t>
      </w:r>
      <w:r w:rsidR="00882A4F">
        <w:t>)</w:t>
      </w:r>
      <w:r>
        <w:t xml:space="preserve">.   </w:t>
      </w:r>
    </w:p>
    <w:p w14:paraId="4B66FE4C" w14:textId="77777777" w:rsidR="00520A50" w:rsidRDefault="00520A50" w:rsidP="00882A4F"/>
    <w:p w14:paraId="49367D01" w14:textId="77777777" w:rsidR="00520A50" w:rsidRDefault="00520A50" w:rsidP="00F704C7">
      <w:pPr>
        <w:pStyle w:val="ListParagraph"/>
        <w:numPr>
          <w:ilvl w:val="0"/>
          <w:numId w:val="5"/>
        </w:numPr>
        <w:tabs>
          <w:tab w:val="left" w:pos="1080"/>
        </w:tabs>
        <w:ind w:left="1080" w:hanging="1080"/>
      </w:pPr>
      <w:r>
        <w:t xml:space="preserve">Please be consistent with formatting. </w:t>
      </w:r>
    </w:p>
    <w:p w14:paraId="4A666F92" w14:textId="77777777" w:rsidR="00520A50" w:rsidRDefault="00520A50" w:rsidP="00520A50">
      <w:pPr>
        <w:pStyle w:val="ListParagraph"/>
      </w:pPr>
    </w:p>
    <w:p w14:paraId="56D31692" w14:textId="07FBADDD" w:rsidR="00520A50" w:rsidRDefault="00520A50" w:rsidP="00F704C7">
      <w:pPr>
        <w:pStyle w:val="ListParagraph"/>
        <w:numPr>
          <w:ilvl w:val="0"/>
          <w:numId w:val="6"/>
        </w:numPr>
        <w:tabs>
          <w:tab w:val="left" w:pos="1080"/>
        </w:tabs>
      </w:pPr>
      <w:r>
        <w:t>PM</w:t>
      </w:r>
      <w:r w:rsidRPr="00C64899">
        <w:rPr>
          <w:position w:val="-6"/>
          <w:vertAlign w:val="subscript"/>
        </w:rPr>
        <w:t>10</w:t>
      </w:r>
      <w:r>
        <w:t>, PM</w:t>
      </w:r>
      <w:r w:rsidRPr="00C64899">
        <w:rPr>
          <w:position w:val="-6"/>
          <w:vertAlign w:val="subscript"/>
        </w:rPr>
        <w:t>2.5</w:t>
      </w:r>
      <w:r>
        <w:t>, O</w:t>
      </w:r>
      <w:r w:rsidRPr="00BB2631">
        <w:rPr>
          <w:rStyle w:val="StyleSubscript"/>
        </w:rPr>
        <w:t>3</w:t>
      </w:r>
      <w:r w:rsidR="005418E3">
        <w:t xml:space="preserve">, </w:t>
      </w:r>
      <w:r>
        <w:t>NO</w:t>
      </w:r>
      <w:r w:rsidRPr="00C64899">
        <w:rPr>
          <w:position w:val="-6"/>
          <w:vertAlign w:val="subscript"/>
        </w:rPr>
        <w:t>2</w:t>
      </w:r>
      <w:r w:rsidR="005418E3">
        <w:t xml:space="preserve">, </w:t>
      </w:r>
      <w:r>
        <w:t>and others with subscripts should be subscripts throughout.</w:t>
      </w:r>
    </w:p>
    <w:p w14:paraId="7B15B368" w14:textId="77777777" w:rsidR="00520A50" w:rsidRDefault="00520A50" w:rsidP="00F704C7">
      <w:pPr>
        <w:pStyle w:val="ListParagraph"/>
        <w:numPr>
          <w:ilvl w:val="0"/>
          <w:numId w:val="6"/>
        </w:numPr>
        <w:tabs>
          <w:tab w:val="left" w:pos="1080"/>
        </w:tabs>
      </w:pPr>
      <w:r>
        <w:t>There is an empty line after each heading.</w:t>
      </w:r>
    </w:p>
    <w:p w14:paraId="0A908ADB" w14:textId="6DE51620" w:rsidR="00520A50" w:rsidRDefault="00520A50" w:rsidP="00F704C7">
      <w:pPr>
        <w:pStyle w:val="ListParagraph"/>
        <w:numPr>
          <w:ilvl w:val="0"/>
          <w:numId w:val="6"/>
        </w:numPr>
        <w:tabs>
          <w:tab w:val="left" w:pos="1080"/>
        </w:tabs>
      </w:pPr>
      <w:r>
        <w:t>Make sure headings are</w:t>
      </w:r>
      <w:r w:rsidR="005418E3">
        <w:t xml:space="preserve"> not</w:t>
      </w:r>
      <w:r>
        <w:t xml:space="preserve"> left stranded at the bottom of the page</w:t>
      </w:r>
      <w:r w:rsidR="00144BAF">
        <w:t>.</w:t>
      </w:r>
    </w:p>
    <w:p w14:paraId="662BA097" w14:textId="77777777" w:rsidR="00520A50" w:rsidRDefault="00520A50" w:rsidP="00F704C7">
      <w:pPr>
        <w:pStyle w:val="ListParagraph"/>
        <w:numPr>
          <w:ilvl w:val="0"/>
          <w:numId w:val="6"/>
        </w:numPr>
        <w:tabs>
          <w:tab w:val="left" w:pos="1080"/>
        </w:tabs>
      </w:pPr>
      <w:r>
        <w:t>Table headings carry with split tables.</w:t>
      </w:r>
    </w:p>
    <w:p w14:paraId="32BCA111" w14:textId="77777777" w:rsidR="00520A50" w:rsidRDefault="00520A50" w:rsidP="00F704C7">
      <w:pPr>
        <w:pStyle w:val="ListParagraph"/>
        <w:numPr>
          <w:ilvl w:val="0"/>
          <w:numId w:val="6"/>
        </w:numPr>
        <w:tabs>
          <w:tab w:val="left" w:pos="1080"/>
        </w:tabs>
      </w:pPr>
      <w:r>
        <w:t>Table rows do not break across pages.</w:t>
      </w:r>
    </w:p>
    <w:p w14:paraId="1DC3F250" w14:textId="77777777" w:rsidR="00520A50" w:rsidRDefault="00520A50" w:rsidP="00144BAF">
      <w:pPr>
        <w:tabs>
          <w:tab w:val="left" w:pos="1080"/>
        </w:tabs>
      </w:pPr>
    </w:p>
    <w:p w14:paraId="0133BA76" w14:textId="4FE4B7CB" w:rsidR="00520A50" w:rsidRDefault="00520A50" w:rsidP="00F704C7">
      <w:pPr>
        <w:pStyle w:val="ListParagraph"/>
        <w:numPr>
          <w:ilvl w:val="0"/>
          <w:numId w:val="5"/>
        </w:numPr>
        <w:tabs>
          <w:tab w:val="left" w:pos="1080"/>
        </w:tabs>
        <w:ind w:left="1080" w:hanging="1080"/>
      </w:pPr>
      <w:r>
        <w:t xml:space="preserve">This document uses MS Word formatting styles that are incorporated into the final PDF. Do not manually change or add heading numbers. </w:t>
      </w:r>
    </w:p>
    <w:p w14:paraId="1F61366F" w14:textId="0DF762DE" w:rsidR="00901FD9" w:rsidRDefault="00901FD9" w:rsidP="33C63274">
      <w:pPr>
        <w:tabs>
          <w:tab w:val="left" w:pos="1080"/>
        </w:tabs>
        <w:ind w:left="1080"/>
      </w:pPr>
    </w:p>
    <w:p w14:paraId="7D230C0D" w14:textId="77777777" w:rsidR="001F2188" w:rsidRDefault="001F2188" w:rsidP="00F62DDE">
      <w:pPr>
        <w:pBdr>
          <w:bottom w:val="single" w:sz="4" w:space="1" w:color="auto"/>
        </w:pBdr>
      </w:pPr>
    </w:p>
    <w:p w14:paraId="2740D473" w14:textId="77777777" w:rsidR="001F2188" w:rsidRDefault="001F2188" w:rsidP="00C64899">
      <w:pPr>
        <w:pStyle w:val="ListParagraph"/>
        <w:tabs>
          <w:tab w:val="left" w:pos="1080"/>
        </w:tabs>
        <w:ind w:left="1080"/>
      </w:pPr>
    </w:p>
    <w:p w14:paraId="2545B586" w14:textId="3BA4E73C" w:rsidR="00440872" w:rsidRDefault="00440872" w:rsidP="00AD6EBC"/>
    <w:p w14:paraId="12B0796F" w14:textId="1450EA9B" w:rsidR="00AD6EBC" w:rsidRDefault="00440872" w:rsidP="00AD6EBC">
      <w:r>
        <w:br w:type="page"/>
      </w:r>
    </w:p>
    <w:p w14:paraId="706597EB" w14:textId="50095FE3" w:rsidR="00130218" w:rsidRPr="00F83550" w:rsidRDefault="00130218" w:rsidP="546B544D">
      <w:pPr>
        <w:pStyle w:val="POEMSTITLE"/>
        <w:rPr>
          <w:color w:val="FFFFFF" w:themeColor="background1"/>
        </w:rPr>
      </w:pPr>
      <w:r w:rsidRPr="546B544D">
        <w:rPr>
          <w:color w:val="FFFFFF" w:themeColor="background1"/>
        </w:rPr>
        <w:lastRenderedPageBreak/>
        <w:t>Military Deployment</w:t>
      </w:r>
    </w:p>
    <w:p w14:paraId="04820F82" w14:textId="77777777" w:rsidR="00130218" w:rsidRPr="00F83550" w:rsidRDefault="00130218" w:rsidP="546B544D">
      <w:pPr>
        <w:pStyle w:val="POEMSTITLE"/>
        <w:rPr>
          <w:color w:val="FFFFFF" w:themeColor="background1"/>
        </w:rPr>
      </w:pPr>
      <w:r w:rsidRPr="546B544D">
        <w:rPr>
          <w:color w:val="FFFFFF" w:themeColor="background1"/>
        </w:rPr>
        <w:t>Periodic Occupational and Environmental Monitoring Summary (POEMS):</w:t>
      </w:r>
    </w:p>
    <w:p w14:paraId="0C9993EB" w14:textId="45432580" w:rsidR="00130218" w:rsidRPr="00F83550" w:rsidRDefault="004928B5" w:rsidP="546B544D">
      <w:pPr>
        <w:pStyle w:val="POEMSTITLE"/>
        <w:rPr>
          <w:color w:val="FFFFFF" w:themeColor="background1"/>
          <w:highlight w:val="green"/>
        </w:rPr>
      </w:pPr>
      <w:r w:rsidRPr="00243FDB">
        <w:rPr>
          <w:color w:val="FFFFFF" w:themeColor="background1"/>
          <w:highlight w:val="green"/>
        </w:rPr>
        <w:t>Camp XXX</w:t>
      </w:r>
      <w:r w:rsidR="00D4627C" w:rsidRPr="00243FDB">
        <w:rPr>
          <w:color w:val="FFFFFF" w:themeColor="background1"/>
        </w:rPr>
        <w:t xml:space="preserve">, </w:t>
      </w:r>
      <w:r w:rsidRPr="4DC24C3C">
        <w:rPr>
          <w:color w:val="FFFFFF" w:themeColor="background1"/>
          <w:highlight w:val="green"/>
        </w:rPr>
        <w:t>Country</w:t>
      </w:r>
    </w:p>
    <w:p w14:paraId="7ACC5FDB" w14:textId="292963AE" w:rsidR="00130218" w:rsidRPr="00F83550" w:rsidRDefault="00130218" w:rsidP="546B544D">
      <w:pPr>
        <w:pStyle w:val="POEMSTITLE"/>
        <w:rPr>
          <w:color w:val="FFFFFF" w:themeColor="background1"/>
        </w:rPr>
      </w:pPr>
      <w:r w:rsidRPr="4DC24C3C">
        <w:rPr>
          <w:color w:val="FFFFFF" w:themeColor="background1"/>
        </w:rPr>
        <w:t xml:space="preserve">Calendar Years: </w:t>
      </w:r>
      <w:r w:rsidR="004928B5" w:rsidRPr="4DC24C3C">
        <w:rPr>
          <w:color w:val="FFFFFF" w:themeColor="background1"/>
          <w:highlight w:val="green"/>
        </w:rPr>
        <w:t>XXXX</w:t>
      </w:r>
      <w:r w:rsidRPr="4DC24C3C">
        <w:rPr>
          <w:color w:val="FFFFFF" w:themeColor="background1"/>
        </w:rPr>
        <w:t xml:space="preserve"> to </w:t>
      </w:r>
      <w:r w:rsidR="004928B5" w:rsidRPr="4DC24C3C">
        <w:rPr>
          <w:color w:val="FFFFFF" w:themeColor="background1"/>
          <w:highlight w:val="green"/>
        </w:rPr>
        <w:t>XXXX</w:t>
      </w:r>
    </w:p>
    <w:p w14:paraId="0D864B53" w14:textId="3B63B54A" w:rsidR="002019FD" w:rsidRPr="00F83550" w:rsidRDefault="00B43DB9" w:rsidP="00317953">
      <w:r w:rsidRPr="00317953">
        <w:rPr>
          <w:rStyle w:val="POEMSEXSUMLead"/>
        </w:rPr>
        <w:t>AUTHORITY</w:t>
      </w:r>
      <w:r w:rsidR="00992A27" w:rsidRPr="00317953">
        <w:rPr>
          <w:b/>
          <w:bCs/>
        </w:rPr>
        <w:t xml:space="preserve">: </w:t>
      </w:r>
      <w:r w:rsidR="00F80C09">
        <w:t xml:space="preserve">This </w:t>
      </w:r>
      <w:r w:rsidR="25CE2AE7">
        <w:t>Periodic Occupational and Environmental Monitoring Summary (</w:t>
      </w:r>
      <w:r w:rsidR="00F80C09">
        <w:t>POEMS</w:t>
      </w:r>
      <w:r w:rsidR="23EB0274">
        <w:t>)</w:t>
      </w:r>
      <w:r w:rsidR="00F80C09">
        <w:t xml:space="preserve"> has been developed in accordance with Department of Defense Instructions (DoDI) 6490.03 </w:t>
      </w:r>
      <w:r w:rsidR="001E1161">
        <w:t>and 6055.05</w:t>
      </w:r>
      <w:r w:rsidR="00F80C09">
        <w:t xml:space="preserve"> (References </w:t>
      </w:r>
      <w:r w:rsidR="004928B5">
        <w:t>1</w:t>
      </w:r>
      <w:r w:rsidR="00721167">
        <w:rPr>
          <w:rFonts w:cs="Arial"/>
        </w:rPr>
        <w:t>–</w:t>
      </w:r>
      <w:r w:rsidR="004928B5">
        <w:t>2</w:t>
      </w:r>
      <w:r w:rsidR="00F80C09">
        <w:t>).</w:t>
      </w:r>
    </w:p>
    <w:p w14:paraId="74045EE1" w14:textId="77777777" w:rsidR="00B43DB9" w:rsidRPr="00F83550" w:rsidRDefault="00B43DB9" w:rsidP="0051520C">
      <w:pPr>
        <w:rPr>
          <w:highlight w:val="yellow"/>
        </w:rPr>
      </w:pPr>
    </w:p>
    <w:p w14:paraId="66B8D2A0" w14:textId="2F17CCE6" w:rsidR="00AC07DC" w:rsidRPr="0051520C" w:rsidRDefault="006F6779" w:rsidP="00616624">
      <w:r w:rsidRPr="00317953">
        <w:rPr>
          <w:rStyle w:val="POEMSEXSUMLead"/>
        </w:rPr>
        <w:t>PURPOSE</w:t>
      </w:r>
      <w:r w:rsidRPr="00A15A1C">
        <w:rPr>
          <w:rStyle w:val="POEMSEXSUMLead"/>
          <w:u w:val="none"/>
        </w:rPr>
        <w:t>:</w:t>
      </w:r>
      <w:r>
        <w:t xml:space="preserve"> </w:t>
      </w:r>
      <w:r w:rsidR="00AC07DC">
        <w:t xml:space="preserve">This </w:t>
      </w:r>
      <w:r w:rsidR="00A967B0">
        <w:t>P</w:t>
      </w:r>
      <w:r w:rsidR="00AC07DC">
        <w:t xml:space="preserve">OEMS documents the </w:t>
      </w:r>
      <w:r w:rsidR="002B2825">
        <w:t>Department of Defense (</w:t>
      </w:r>
      <w:r w:rsidR="00AC07DC">
        <w:t>DoD</w:t>
      </w:r>
      <w:r w:rsidR="002B2825">
        <w:t>)</w:t>
      </w:r>
      <w:r w:rsidR="00AC07DC">
        <w:t xml:space="preserve"> assessment of </w:t>
      </w:r>
      <w:r w:rsidR="00863D38">
        <w:t>o</w:t>
      </w:r>
      <w:r w:rsidR="00AC07DC">
        <w:t xml:space="preserve">ccupational and </w:t>
      </w:r>
      <w:r w:rsidR="00863D38">
        <w:t>environmental h</w:t>
      </w:r>
      <w:r w:rsidR="00AC07DC">
        <w:t xml:space="preserve">ealth (OEH) risk for </w:t>
      </w:r>
      <w:commentRangeStart w:id="0"/>
      <w:r w:rsidR="004928B5" w:rsidRPr="00317953">
        <w:rPr>
          <w:highlight w:val="green"/>
        </w:rPr>
        <w:t>Base</w:t>
      </w:r>
      <w:commentRangeEnd w:id="0"/>
      <w:r>
        <w:rPr>
          <w:rStyle w:val="CommentReference"/>
        </w:rPr>
        <w:commentReference w:id="0"/>
      </w:r>
      <w:r w:rsidR="004928B5" w:rsidRPr="00317953">
        <w:rPr>
          <w:highlight w:val="green"/>
        </w:rPr>
        <w:t xml:space="preserve"> </w:t>
      </w:r>
      <w:r w:rsidR="0006516E" w:rsidRPr="00317953">
        <w:rPr>
          <w:highlight w:val="green"/>
        </w:rPr>
        <w:t>c</w:t>
      </w:r>
      <w:r w:rsidR="004928B5" w:rsidRPr="00317953">
        <w:rPr>
          <w:highlight w:val="green"/>
        </w:rPr>
        <w:t>amp XXX, Country</w:t>
      </w:r>
      <w:r w:rsidR="002C6D14">
        <w:t xml:space="preserve">. </w:t>
      </w:r>
      <w:r w:rsidR="00AC07DC">
        <w:t xml:space="preserve">It presents a qualitative summary of </w:t>
      </w:r>
      <w:r w:rsidR="00F76C57">
        <w:t xml:space="preserve">OEH </w:t>
      </w:r>
      <w:r w:rsidR="00AC07DC">
        <w:t xml:space="preserve">risks identified at </w:t>
      </w:r>
      <w:r w:rsidR="004928B5" w:rsidRPr="00317953">
        <w:rPr>
          <w:highlight w:val="green"/>
        </w:rPr>
        <w:t>Camp XXX</w:t>
      </w:r>
      <w:r w:rsidR="00AC07DC">
        <w:t xml:space="preserve"> and the potential medical implications</w:t>
      </w:r>
      <w:r w:rsidR="002C6D14">
        <w:t xml:space="preserve">. </w:t>
      </w:r>
      <w:r w:rsidR="00AC07DC">
        <w:t xml:space="preserve">The </w:t>
      </w:r>
      <w:r w:rsidR="006F0DD9">
        <w:t>POEMS</w:t>
      </w:r>
      <w:r w:rsidR="00AC07DC">
        <w:t xml:space="preserve"> is based on information collected from </w:t>
      </w:r>
      <w:r w:rsidR="004928B5" w:rsidRPr="00317953">
        <w:rPr>
          <w:highlight w:val="yellow"/>
        </w:rPr>
        <w:t>Day Month Year</w:t>
      </w:r>
      <w:r w:rsidR="00642AB5">
        <w:t xml:space="preserve"> </w:t>
      </w:r>
      <w:r w:rsidR="00B56693">
        <w:t xml:space="preserve">through </w:t>
      </w:r>
      <w:r w:rsidR="004928B5" w:rsidRPr="00317953">
        <w:rPr>
          <w:highlight w:val="yellow"/>
        </w:rPr>
        <w:t>Day Month Year</w:t>
      </w:r>
      <w:r w:rsidR="007D73EE">
        <w:t xml:space="preserve"> </w:t>
      </w:r>
      <w:r w:rsidR="00633541">
        <w:t>to include deployment OEH</w:t>
      </w:r>
      <w:r w:rsidR="008F5D7C">
        <w:t xml:space="preserve"> </w:t>
      </w:r>
      <w:r w:rsidR="00F70ADB">
        <w:t xml:space="preserve">area </w:t>
      </w:r>
      <w:r w:rsidR="008F5D7C">
        <w:t>surveillance</w:t>
      </w:r>
      <w:r w:rsidR="00633541">
        <w:t xml:space="preserve"> sampling and monitoring data (e.g.</w:t>
      </w:r>
      <w:r w:rsidR="00863D38">
        <w:t>,</w:t>
      </w:r>
      <w:r w:rsidR="00633541">
        <w:t xml:space="preserve"> air, water, and soil), field investigation and health assessment</w:t>
      </w:r>
      <w:r w:rsidR="009C1AA0">
        <w:t xml:space="preserve"> reports, </w:t>
      </w:r>
      <w:r w:rsidR="007E696D" w:rsidRPr="00317953">
        <w:rPr>
          <w:highlight w:val="yellow"/>
        </w:rPr>
        <w:t>and the Goddard Earth Observing System Composition Forecasting (GEOS-CF) model</w:t>
      </w:r>
      <w:r w:rsidR="007E696D">
        <w:t xml:space="preserve"> </w:t>
      </w:r>
      <w:r w:rsidR="009C1AA0">
        <w:t>as well as country and</w:t>
      </w:r>
      <w:r w:rsidR="00633541">
        <w:t xml:space="preserve"> area-specific information on endemic diseases.</w:t>
      </w:r>
    </w:p>
    <w:p w14:paraId="5B752BC0" w14:textId="77777777" w:rsidR="00AC07DC" w:rsidRPr="00F83550" w:rsidRDefault="00AC07DC" w:rsidP="00545915"/>
    <w:p w14:paraId="391C469B" w14:textId="1FAA1E5C" w:rsidR="00AC07DC" w:rsidRPr="00545915" w:rsidRDefault="00AC07DC" w:rsidP="00545915">
      <w:pPr>
        <w:rPr>
          <w:rStyle w:val="PageNumber"/>
        </w:rPr>
      </w:pPr>
      <w:r w:rsidRPr="002369AE">
        <w:rPr>
          <w:rStyle w:val="PageNumber"/>
          <w:highlight w:val="yellow"/>
        </w:rPr>
        <w:t>This assessment assumes that environmental</w:t>
      </w:r>
      <w:r w:rsidR="00332D6A" w:rsidRPr="002369AE">
        <w:rPr>
          <w:rStyle w:val="PageNumber"/>
          <w:highlight w:val="yellow"/>
        </w:rPr>
        <w:t xml:space="preserve"> area</w:t>
      </w:r>
      <w:r w:rsidR="00F70ADB" w:rsidRPr="002369AE">
        <w:rPr>
          <w:rStyle w:val="PageNumber"/>
          <w:highlight w:val="yellow"/>
        </w:rPr>
        <w:t xml:space="preserve"> </w:t>
      </w:r>
      <w:r w:rsidRPr="002369AE">
        <w:rPr>
          <w:rStyle w:val="PageNumber"/>
          <w:highlight w:val="yellow"/>
        </w:rPr>
        <w:t xml:space="preserve">sampling at </w:t>
      </w:r>
      <w:r w:rsidR="004928B5" w:rsidRPr="002369AE">
        <w:rPr>
          <w:rStyle w:val="PageNumber"/>
          <w:highlight w:val="yellow"/>
        </w:rPr>
        <w:t>Camp XXX</w:t>
      </w:r>
      <w:r w:rsidR="00D8029E" w:rsidRPr="002369AE">
        <w:rPr>
          <w:rStyle w:val="PageNumber"/>
          <w:highlight w:val="yellow"/>
        </w:rPr>
        <w:t xml:space="preserve"> </w:t>
      </w:r>
      <w:r w:rsidRPr="002369AE">
        <w:rPr>
          <w:rStyle w:val="PageNumber"/>
          <w:highlight w:val="yellow"/>
        </w:rPr>
        <w:t>during this period was performed at representative exposure points</w:t>
      </w:r>
      <w:r w:rsidRPr="3B0E7030">
        <w:rPr>
          <w:rStyle w:val="PageNumber"/>
        </w:rPr>
        <w:t xml:space="preserve"> selected to characterize health risks at the population</w:t>
      </w:r>
      <w:r w:rsidR="00DF4B87">
        <w:rPr>
          <w:rStyle w:val="PageNumber"/>
        </w:rPr>
        <w:t>-</w:t>
      </w:r>
      <w:r w:rsidRPr="3B0E7030">
        <w:rPr>
          <w:rStyle w:val="PageNumber"/>
        </w:rPr>
        <w:t>level</w:t>
      </w:r>
      <w:r w:rsidR="002C6D14" w:rsidRPr="3B0E7030">
        <w:rPr>
          <w:rStyle w:val="PageNumber"/>
        </w:rPr>
        <w:t xml:space="preserve">. </w:t>
      </w:r>
      <w:r w:rsidRPr="3B0E7030">
        <w:rPr>
          <w:rStyle w:val="PageNumber"/>
        </w:rPr>
        <w:t xml:space="preserve">Due to the nature of environmental </w:t>
      </w:r>
      <w:r w:rsidR="00332D6A" w:rsidRPr="3B0E7030">
        <w:rPr>
          <w:rStyle w:val="PageNumber"/>
        </w:rPr>
        <w:t>area</w:t>
      </w:r>
      <w:r w:rsidR="00F70ADB" w:rsidRPr="3B0E7030">
        <w:rPr>
          <w:rStyle w:val="PageNumber"/>
        </w:rPr>
        <w:t xml:space="preserve"> </w:t>
      </w:r>
      <w:r w:rsidRPr="3B0E7030">
        <w:rPr>
          <w:rStyle w:val="PageNumber"/>
        </w:rPr>
        <w:t>sampling, the</w:t>
      </w:r>
      <w:r w:rsidR="008338B8">
        <w:rPr>
          <w:rStyle w:val="PageNumber"/>
        </w:rPr>
        <w:t>se</w:t>
      </w:r>
      <w:r w:rsidRPr="3B0E7030">
        <w:rPr>
          <w:rStyle w:val="PageNumber"/>
        </w:rPr>
        <w:t xml:space="preserve"> data upon which this </w:t>
      </w:r>
      <w:r w:rsidR="00ED5031" w:rsidRPr="3B0E7030">
        <w:rPr>
          <w:rStyle w:val="PageNumber"/>
        </w:rPr>
        <w:t>POEMS</w:t>
      </w:r>
      <w:r w:rsidRPr="3B0E7030">
        <w:rPr>
          <w:rStyle w:val="PageNumber"/>
        </w:rPr>
        <w:t xml:space="preserve"> is based may not be fully representative of all the fluctuations in environmental quality</w:t>
      </w:r>
      <w:r w:rsidR="008338B8">
        <w:rPr>
          <w:rStyle w:val="PageNumber"/>
        </w:rPr>
        <w:t>,</w:t>
      </w:r>
      <w:r w:rsidR="00D37616" w:rsidRPr="3B0E7030">
        <w:rPr>
          <w:rStyle w:val="PageNumber"/>
        </w:rPr>
        <w:t xml:space="preserve"> </w:t>
      </w:r>
      <w:r w:rsidRPr="3B0E7030">
        <w:rPr>
          <w:rStyle w:val="PageNumber"/>
        </w:rPr>
        <w:t>capture unique occurrences</w:t>
      </w:r>
      <w:r w:rsidR="002E007F" w:rsidRPr="3B0E7030">
        <w:rPr>
          <w:rStyle w:val="PageNumber"/>
        </w:rPr>
        <w:t>,</w:t>
      </w:r>
      <w:r w:rsidR="00F70ADB" w:rsidRPr="3B0E7030">
        <w:rPr>
          <w:rStyle w:val="PageNumber"/>
        </w:rPr>
        <w:t xml:space="preserve"> or necessarily reflect individual exposures</w:t>
      </w:r>
      <w:r w:rsidR="002C6D14" w:rsidRPr="3B0E7030">
        <w:rPr>
          <w:rStyle w:val="PageNumber"/>
        </w:rPr>
        <w:t xml:space="preserve">. </w:t>
      </w:r>
      <w:r w:rsidR="00F70ADB" w:rsidRPr="3B0E7030">
        <w:rPr>
          <w:rStyle w:val="PageNumber"/>
        </w:rPr>
        <w:t>T</w:t>
      </w:r>
      <w:r w:rsidR="007E696D" w:rsidRPr="3B0E7030">
        <w:rPr>
          <w:rStyle w:val="PageNumber"/>
          <w:highlight w:val="yellow"/>
        </w:rPr>
        <w:t>he represen</w:t>
      </w:r>
      <w:r w:rsidR="006B5954" w:rsidRPr="3B0E7030">
        <w:rPr>
          <w:rStyle w:val="PageNumber"/>
          <w:highlight w:val="yellow"/>
        </w:rPr>
        <w:t xml:space="preserve">tativeness of the GEOS-CF </w:t>
      </w:r>
      <w:r w:rsidR="00B14D70" w:rsidRPr="3B0E7030">
        <w:rPr>
          <w:rStyle w:val="PageNumber"/>
          <w:highlight w:val="yellow"/>
        </w:rPr>
        <w:t>modeled</w:t>
      </w:r>
      <w:r w:rsidR="007E696D" w:rsidRPr="3B0E7030">
        <w:rPr>
          <w:rStyle w:val="PageNumber"/>
          <w:highlight w:val="yellow"/>
        </w:rPr>
        <w:t xml:space="preserve"> concentration data may be limited because it was averaged over a large </w:t>
      </w:r>
      <w:r w:rsidR="00F70ADB" w:rsidRPr="3B0E7030">
        <w:rPr>
          <w:rStyle w:val="PageNumber"/>
          <w:highlight w:val="yellow"/>
        </w:rPr>
        <w:t xml:space="preserve">air and </w:t>
      </w:r>
      <w:r w:rsidR="00A248A1" w:rsidRPr="3B0E7030">
        <w:rPr>
          <w:rStyle w:val="PageNumber"/>
          <w:highlight w:val="yellow"/>
        </w:rPr>
        <w:t xml:space="preserve">land </w:t>
      </w:r>
      <w:r w:rsidR="007E696D" w:rsidRPr="3B0E7030">
        <w:rPr>
          <w:rStyle w:val="PageNumber"/>
          <w:highlight w:val="yellow"/>
        </w:rPr>
        <w:t xml:space="preserve">area that included </w:t>
      </w:r>
      <w:r w:rsidR="007E696D" w:rsidRPr="3B0E7030">
        <w:rPr>
          <w:rStyle w:val="PageNumber"/>
          <w:highlight w:val="green"/>
        </w:rPr>
        <w:t>Camp XXX</w:t>
      </w:r>
      <w:r w:rsidR="007E696D" w:rsidRPr="3B0E7030">
        <w:rPr>
          <w:rStyle w:val="PageNumber"/>
          <w:highlight w:val="yellow"/>
        </w:rPr>
        <w:t xml:space="preserve"> and the surrounding </w:t>
      </w:r>
      <w:r w:rsidR="00F70ADB" w:rsidRPr="3B0E7030">
        <w:rPr>
          <w:rStyle w:val="PageNumber"/>
          <w:highlight w:val="yellow"/>
        </w:rPr>
        <w:t>region</w:t>
      </w:r>
      <w:r w:rsidR="00FF30EC" w:rsidRPr="3B0E7030">
        <w:rPr>
          <w:rStyle w:val="PageNumber"/>
          <w:highlight w:val="yellow"/>
        </w:rPr>
        <w:t>.</w:t>
      </w:r>
      <w:r w:rsidR="007E696D" w:rsidRPr="3B0E7030">
        <w:rPr>
          <w:rStyle w:val="PageNumber"/>
        </w:rPr>
        <w:t xml:space="preserve"> </w:t>
      </w:r>
      <w:r w:rsidRPr="3B0E7030">
        <w:rPr>
          <w:rStyle w:val="PageNumber"/>
        </w:rPr>
        <w:t xml:space="preserve">While health risks pertaining to historic or future conditions at this site </w:t>
      </w:r>
      <w:r w:rsidR="1818E5DE" w:rsidRPr="3B0E7030">
        <w:rPr>
          <w:rStyle w:val="PageNumber"/>
        </w:rPr>
        <w:t>might</w:t>
      </w:r>
      <w:r w:rsidRPr="3B0E7030">
        <w:rPr>
          <w:rStyle w:val="PageNumber"/>
        </w:rPr>
        <w:t xml:space="preserve"> be </w:t>
      </w:r>
      <w:r w:rsidR="5B20AC70" w:rsidRPr="3B0E7030">
        <w:rPr>
          <w:rStyle w:val="PageNumber"/>
        </w:rPr>
        <w:t>like</w:t>
      </w:r>
      <w:r w:rsidRPr="3B0E7030">
        <w:rPr>
          <w:rStyle w:val="PageNumber"/>
        </w:rPr>
        <w:t xml:space="preserve"> those described in this </w:t>
      </w:r>
      <w:r w:rsidR="00565D46" w:rsidRPr="3B0E7030">
        <w:rPr>
          <w:rStyle w:val="PageNumber"/>
        </w:rPr>
        <w:t>POEMS</w:t>
      </w:r>
      <w:r w:rsidRPr="3B0E7030">
        <w:rPr>
          <w:rStyle w:val="PageNumber"/>
        </w:rPr>
        <w:t>, th</w:t>
      </w:r>
      <w:r w:rsidR="076BEF7D" w:rsidRPr="3B0E7030">
        <w:rPr>
          <w:rStyle w:val="PageNumber"/>
        </w:rPr>
        <w:t>is</w:t>
      </w:r>
      <w:r w:rsidRPr="3B0E7030">
        <w:rPr>
          <w:rStyle w:val="PageNumber"/>
        </w:rPr>
        <w:t xml:space="preserve"> health risk assessment is limited to</w:t>
      </w:r>
      <w:r w:rsidR="6EAADF4A" w:rsidRPr="3B0E7030">
        <w:rPr>
          <w:rStyle w:val="PageNumber"/>
        </w:rPr>
        <w:t xml:space="preserve"> the </w:t>
      </w:r>
      <w:proofErr w:type="gramStart"/>
      <w:r w:rsidR="6EAADF4A" w:rsidRPr="3B0E7030">
        <w:rPr>
          <w:rStyle w:val="PageNumber"/>
        </w:rPr>
        <w:t>time period</w:t>
      </w:r>
      <w:proofErr w:type="gramEnd"/>
      <w:r w:rsidR="6EAADF4A" w:rsidRPr="3B0E7030">
        <w:rPr>
          <w:rStyle w:val="PageNumber"/>
        </w:rPr>
        <w:t xml:space="preserve"> of</w:t>
      </w:r>
      <w:r w:rsidRPr="3B0E7030">
        <w:rPr>
          <w:rStyle w:val="PageNumber"/>
        </w:rPr>
        <w:t xml:space="preserve"> </w:t>
      </w:r>
      <w:r w:rsidR="004928B5" w:rsidRPr="3B0E7030">
        <w:rPr>
          <w:rStyle w:val="PageNumber"/>
          <w:highlight w:val="yellow"/>
        </w:rPr>
        <w:t>Day Month Year</w:t>
      </w:r>
      <w:r w:rsidR="00FC509E" w:rsidRPr="3B0E7030">
        <w:rPr>
          <w:rStyle w:val="PageNumber"/>
        </w:rPr>
        <w:t xml:space="preserve"> through </w:t>
      </w:r>
      <w:r w:rsidR="004928B5" w:rsidRPr="3B0E7030">
        <w:rPr>
          <w:rStyle w:val="PageNumber"/>
          <w:highlight w:val="yellow"/>
        </w:rPr>
        <w:t>Day Month Year</w:t>
      </w:r>
      <w:r w:rsidR="002E007F" w:rsidRPr="3B0E7030">
        <w:rPr>
          <w:rStyle w:val="PageNumber"/>
        </w:rPr>
        <w:t>,</w:t>
      </w:r>
      <w:r w:rsidR="00C83224">
        <w:t xml:space="preserve"> cannot be extrapolated or generalized to other date ranges or locations</w:t>
      </w:r>
      <w:r w:rsidR="002E007F">
        <w:t>,</w:t>
      </w:r>
      <w:r w:rsidR="00F70ADB">
        <w:t xml:space="preserve"> and cannot be confidently </w:t>
      </w:r>
      <w:r w:rsidR="002E007F">
        <w:t>assigned to individuals</w:t>
      </w:r>
      <w:r w:rsidRPr="3B0E7030">
        <w:rPr>
          <w:rStyle w:val="PageNumber"/>
        </w:rPr>
        <w:t>.</w:t>
      </w:r>
    </w:p>
    <w:p w14:paraId="0CCD8AB1" w14:textId="77777777" w:rsidR="00AC07DC" w:rsidRPr="005F687F" w:rsidRDefault="00AC07DC" w:rsidP="00822736"/>
    <w:p w14:paraId="444E6EBC" w14:textId="09012D5D" w:rsidR="00AC07DC" w:rsidRPr="00F83550" w:rsidRDefault="00AC07DC" w:rsidP="33C63274">
      <w:pPr>
        <w:rPr>
          <w:b/>
          <w:bCs/>
          <w:highlight w:val="yellow"/>
        </w:rPr>
      </w:pPr>
      <w:bookmarkStart w:id="1" w:name="_Hlk160714307"/>
      <w:r>
        <w:t xml:space="preserve">The POEMS can be </w:t>
      </w:r>
      <w:r w:rsidR="00417474">
        <w:t xml:space="preserve">used </w:t>
      </w:r>
      <w:r>
        <w:t>to inform healthcare providers and others</w:t>
      </w:r>
      <w:r w:rsidR="00F70ADB">
        <w:t xml:space="preserve"> </w:t>
      </w:r>
      <w:r>
        <w:t xml:space="preserve">of environmental conditions </w:t>
      </w:r>
      <w:r w:rsidR="00476592">
        <w:t xml:space="preserve">and potential </w:t>
      </w:r>
      <w:r w:rsidR="00A248A1">
        <w:t xml:space="preserve">environmental </w:t>
      </w:r>
      <w:r w:rsidR="00476592">
        <w:t xml:space="preserve">exposures </w:t>
      </w:r>
      <w:r>
        <w:t xml:space="preserve">experienced by individuals </w:t>
      </w:r>
      <w:r w:rsidR="00476592">
        <w:t xml:space="preserve">deployed to </w:t>
      </w:r>
      <w:r w:rsidR="00476592" w:rsidRPr="3B0E7030">
        <w:rPr>
          <w:highlight w:val="green"/>
        </w:rPr>
        <w:t>Camp XXX</w:t>
      </w:r>
      <w:r w:rsidR="00476592">
        <w:t xml:space="preserve"> </w:t>
      </w:r>
      <w:r>
        <w:t>durin</w:t>
      </w:r>
      <w:r w:rsidR="0063252B">
        <w:t>g the period of this assessment</w:t>
      </w:r>
      <w:bookmarkEnd w:id="1"/>
      <w:r w:rsidR="002C6D14">
        <w:t xml:space="preserve">. </w:t>
      </w:r>
      <w:r w:rsidR="00F70ADB">
        <w:t xml:space="preserve">To reiterate, </w:t>
      </w:r>
      <w:r>
        <w:t xml:space="preserve">it </w:t>
      </w:r>
      <w:r w:rsidR="0A982E5A">
        <w:t xml:space="preserve">is at the population level but </w:t>
      </w:r>
      <w:r>
        <w:t>does not represent an individual</w:t>
      </w:r>
      <w:r w:rsidR="00F70ADB">
        <w:t>’s</w:t>
      </w:r>
      <w:r>
        <w:t xml:space="preserve"> exposure profile</w:t>
      </w:r>
      <w:r w:rsidR="002C6D14">
        <w:t xml:space="preserve">. </w:t>
      </w:r>
      <w:r>
        <w:t>Individual exposures depend on many variables such as how long, how often, where and what someone is doing while working and/or spending time outside</w:t>
      </w:r>
      <w:r w:rsidR="00476592">
        <w:t>, ambient weather conditions, and if personal protective equipment was worn</w:t>
      </w:r>
      <w:r w:rsidR="002C6D14">
        <w:t xml:space="preserve">. </w:t>
      </w:r>
      <w:r>
        <w:t xml:space="preserve">Individual outdoor activities and associated routes of exposure are extremely variable and cannot be identified from or during environmental </w:t>
      </w:r>
      <w:r w:rsidR="00F70ADB">
        <w:t xml:space="preserve">area </w:t>
      </w:r>
      <w:r>
        <w:t>sampling</w:t>
      </w:r>
      <w:r w:rsidR="002C6D14">
        <w:t xml:space="preserve">. </w:t>
      </w:r>
      <w:bookmarkStart w:id="2" w:name="_Hlk160714726"/>
      <w:r>
        <w:t>Individuals who sought medical treatment related to OEH exposures while deployed should have exposure/treatment noted in their medical record</w:t>
      </w:r>
      <w:r w:rsidR="00A13A0E">
        <w:t>s</w:t>
      </w:r>
      <w:r>
        <w:t xml:space="preserve"> on a </w:t>
      </w:r>
      <w:r w:rsidR="00F70ADB">
        <w:t xml:space="preserve">paper </w:t>
      </w:r>
      <w:r>
        <w:t>Standard Form (SF) 600 (Chronological Record of Medical Care)</w:t>
      </w:r>
      <w:r w:rsidR="00A248A1">
        <w:t xml:space="preserve"> </w:t>
      </w:r>
      <w:bookmarkStart w:id="3" w:name="_Hlk160714678"/>
      <w:bookmarkEnd w:id="2"/>
      <w:r w:rsidR="00595F25">
        <w:t>and/</w:t>
      </w:r>
      <w:r w:rsidR="00A248A1">
        <w:t>or in their electronic health records</w:t>
      </w:r>
      <w:bookmarkEnd w:id="3"/>
      <w:r>
        <w:t>.</w:t>
      </w:r>
    </w:p>
    <w:p w14:paraId="0FFAF240" w14:textId="77777777" w:rsidR="00AC07DC" w:rsidRPr="00F83550" w:rsidRDefault="00AC07DC" w:rsidP="006338D0">
      <w:pPr>
        <w:rPr>
          <w:highlight w:val="yellow"/>
        </w:rPr>
      </w:pPr>
    </w:p>
    <w:p w14:paraId="655BABEB" w14:textId="069CBB02" w:rsidR="004928B5" w:rsidRPr="00416B35" w:rsidRDefault="00CF53EF" w:rsidP="006338D0">
      <w:r w:rsidRPr="00007DE3">
        <w:rPr>
          <w:rStyle w:val="POEMSEXSUMLead"/>
        </w:rPr>
        <w:t>SITE DESCRIPTION</w:t>
      </w:r>
      <w:r w:rsidRPr="005D2271">
        <w:rPr>
          <w:rStyle w:val="POEMSEXSUMLead"/>
          <w:u w:val="none"/>
        </w:rPr>
        <w:t>:</w:t>
      </w:r>
      <w:r w:rsidR="00007DE3" w:rsidRPr="005D2271">
        <w:rPr>
          <w:rStyle w:val="POEMSEXSUMLead"/>
          <w:u w:val="none"/>
        </w:rPr>
        <w:t xml:space="preserve"> </w:t>
      </w:r>
      <w:r w:rsidR="004928B5" w:rsidRPr="00F83550">
        <w:rPr>
          <w:highlight w:val="yellow"/>
        </w:rPr>
        <w:t>Add general site description</w:t>
      </w:r>
      <w:r w:rsidR="00535D77">
        <w:rPr>
          <w:highlight w:val="yellow"/>
        </w:rPr>
        <w:t xml:space="preserve">. </w:t>
      </w:r>
      <w:r w:rsidR="004928B5" w:rsidRPr="00416B35">
        <w:rPr>
          <w:rStyle w:val="CommentReference"/>
          <w:sz w:val="22"/>
          <w:szCs w:val="22"/>
        </w:rPr>
        <w:annotationRef/>
      </w:r>
      <w:r w:rsidR="004928B5" w:rsidRPr="00416B35">
        <w:rPr>
          <w:highlight w:val="yellow"/>
        </w:rPr>
        <w:t xml:space="preserve">Include </w:t>
      </w:r>
      <w:r w:rsidR="004928B5">
        <w:rPr>
          <w:highlight w:val="yellow"/>
        </w:rPr>
        <w:t xml:space="preserve">the following information: the </w:t>
      </w:r>
      <w:r w:rsidR="004928B5" w:rsidRPr="00416B35">
        <w:rPr>
          <w:highlight w:val="yellow"/>
        </w:rPr>
        <w:t xml:space="preserve">general setting, things that may affect air quality, </w:t>
      </w:r>
      <w:r w:rsidR="004928B5">
        <w:rPr>
          <w:highlight w:val="yellow"/>
        </w:rPr>
        <w:t>information about</w:t>
      </w:r>
      <w:r w:rsidR="004928B5" w:rsidRPr="00416B35">
        <w:rPr>
          <w:highlight w:val="yellow"/>
        </w:rPr>
        <w:t xml:space="preserve"> </w:t>
      </w:r>
      <w:r w:rsidR="004928B5">
        <w:rPr>
          <w:highlight w:val="yellow"/>
        </w:rPr>
        <w:t xml:space="preserve">soil, </w:t>
      </w:r>
      <w:r w:rsidR="004928B5" w:rsidRPr="00416B35">
        <w:rPr>
          <w:highlight w:val="yellow"/>
        </w:rPr>
        <w:t xml:space="preserve">water </w:t>
      </w:r>
      <w:r w:rsidR="004928B5">
        <w:rPr>
          <w:highlight w:val="yellow"/>
        </w:rPr>
        <w:t>(source, etc.) and exposure information</w:t>
      </w:r>
      <w:r w:rsidR="00535D77">
        <w:rPr>
          <w:highlight w:val="yellow"/>
        </w:rPr>
        <w:t xml:space="preserve">. </w:t>
      </w:r>
    </w:p>
    <w:p w14:paraId="08DF40A0" w14:textId="77777777" w:rsidR="004928B5" w:rsidRDefault="004928B5" w:rsidP="006338D0"/>
    <w:p w14:paraId="77BEDCF7" w14:textId="08B8BFCC" w:rsidR="004928B5" w:rsidRPr="00EB334A" w:rsidRDefault="00EB334A" w:rsidP="006338D0">
      <w:pPr>
        <w:rPr>
          <w:rFonts w:asciiTheme="minorHAnsi" w:hAnsiTheme="minorHAnsi" w:cstheme="minorHAnsi"/>
        </w:rPr>
      </w:pPr>
      <w:r w:rsidRPr="00EB334A">
        <w:rPr>
          <w:rFonts w:asciiTheme="minorHAnsi" w:hAnsiTheme="minorHAnsi" w:cstheme="minorHAnsi"/>
          <w:color w:val="0070C0"/>
        </w:rPr>
        <w:lastRenderedPageBreak/>
        <w:t>[</w:t>
      </w:r>
      <w:r w:rsidRPr="00EB334A">
        <w:rPr>
          <w:rStyle w:val="cf01"/>
          <w:rFonts w:asciiTheme="minorHAnsi" w:hAnsiTheme="minorHAnsi" w:cstheme="minorHAnsi"/>
          <w:color w:val="0070C0"/>
          <w:sz w:val="24"/>
          <w:szCs w:val="24"/>
        </w:rPr>
        <w:t>If you have multiple “in vicinity” locations and information isn’t available for all of them</w:t>
      </w:r>
      <w:r w:rsidR="004C4277">
        <w:rPr>
          <w:rStyle w:val="cf01"/>
          <w:rFonts w:asciiTheme="minorHAnsi" w:hAnsiTheme="minorHAnsi" w:cstheme="minorHAnsi"/>
          <w:color w:val="0070C0"/>
          <w:sz w:val="24"/>
          <w:szCs w:val="24"/>
        </w:rPr>
        <w:t>,</w:t>
      </w:r>
      <w:r w:rsidRPr="00EB334A">
        <w:rPr>
          <w:rStyle w:val="cf01"/>
          <w:rFonts w:asciiTheme="minorHAnsi" w:hAnsiTheme="minorHAnsi" w:cstheme="minorHAnsi"/>
          <w:color w:val="0070C0"/>
          <w:sz w:val="24"/>
          <w:szCs w:val="24"/>
        </w:rPr>
        <w:t xml:space="preserve"> include this.]</w:t>
      </w:r>
      <w:r>
        <w:rPr>
          <w:rStyle w:val="cf01"/>
          <w:rFonts w:asciiTheme="minorHAnsi" w:hAnsiTheme="minorHAnsi" w:cstheme="minorHAnsi"/>
          <w:sz w:val="24"/>
          <w:szCs w:val="24"/>
        </w:rPr>
        <w:t xml:space="preserve"> </w:t>
      </w:r>
      <w:r w:rsidR="004928B5" w:rsidRPr="009A4D7A">
        <w:rPr>
          <w:highlight w:val="yellow"/>
        </w:rPr>
        <w:t>Information and data w</w:t>
      </w:r>
      <w:r w:rsidR="009052B7">
        <w:rPr>
          <w:highlight w:val="yellow"/>
        </w:rPr>
        <w:t>ere</w:t>
      </w:r>
      <w:r w:rsidR="004928B5" w:rsidRPr="009A4D7A">
        <w:rPr>
          <w:highlight w:val="yellow"/>
        </w:rPr>
        <w:t xml:space="preserve"> available for </w:t>
      </w:r>
      <w:r w:rsidR="004928B5" w:rsidRPr="007767C2">
        <w:rPr>
          <w:highlight w:val="green"/>
        </w:rPr>
        <w:t>Camp XXX</w:t>
      </w:r>
      <w:r w:rsidR="004928B5" w:rsidRPr="009A4D7A">
        <w:rPr>
          <w:highlight w:val="yellow"/>
        </w:rPr>
        <w:t xml:space="preserve">, </w:t>
      </w:r>
      <w:r w:rsidR="004928B5" w:rsidRPr="007767C2">
        <w:rPr>
          <w:highlight w:val="green"/>
        </w:rPr>
        <w:t>Camp XXX</w:t>
      </w:r>
      <w:r w:rsidR="004928B5" w:rsidRPr="009A4D7A">
        <w:rPr>
          <w:highlight w:val="yellow"/>
        </w:rPr>
        <w:t xml:space="preserve">, and </w:t>
      </w:r>
      <w:r w:rsidR="004928B5" w:rsidRPr="007767C2">
        <w:rPr>
          <w:highlight w:val="green"/>
        </w:rPr>
        <w:t>Camp XXX</w:t>
      </w:r>
      <w:r w:rsidR="004928B5" w:rsidRPr="009A4D7A">
        <w:rPr>
          <w:highlight w:val="yellow"/>
        </w:rPr>
        <w:t>; therefore, the POEMS will focus on these base camps.</w:t>
      </w:r>
      <w:r>
        <w:t xml:space="preserve"> </w:t>
      </w:r>
    </w:p>
    <w:p w14:paraId="702FDB53" w14:textId="77777777" w:rsidR="004928B5" w:rsidRDefault="004928B5" w:rsidP="006338D0"/>
    <w:p w14:paraId="48AFB0FE" w14:textId="63DD8F75" w:rsidR="00EB334A" w:rsidRPr="00EB334A" w:rsidRDefault="004928B5" w:rsidP="00EB334A">
      <w:pPr>
        <w:pStyle w:val="pf0"/>
        <w:rPr>
          <w:rFonts w:ascii="Arial" w:hAnsi="Arial" w:cs="Arial"/>
          <w:sz w:val="20"/>
          <w:szCs w:val="20"/>
        </w:rPr>
      </w:pPr>
      <w:r w:rsidRPr="00EB334A">
        <w:rPr>
          <w:rFonts w:asciiTheme="minorHAnsi" w:hAnsiTheme="minorHAnsi" w:cstheme="minorHAnsi"/>
        </w:rPr>
        <w:t xml:space="preserve">The </w:t>
      </w:r>
      <w:bookmarkStart w:id="4" w:name="_Hlk160714871"/>
      <w:r w:rsidRPr="00EB334A">
        <w:rPr>
          <w:rFonts w:asciiTheme="minorHAnsi" w:hAnsiTheme="minorHAnsi" w:cstheme="minorHAnsi"/>
        </w:rPr>
        <w:t xml:space="preserve">Defense Occupational and Environmental Health Readiness System </w:t>
      </w:r>
      <w:r w:rsidR="00B415AF">
        <w:rPr>
          <w:rFonts w:asciiTheme="minorHAnsi" w:hAnsiTheme="minorHAnsi" w:cstheme="minorHAnsi"/>
        </w:rPr>
        <w:t xml:space="preserve">– Industrial Hygiene </w:t>
      </w:r>
      <w:r w:rsidRPr="00EB334A">
        <w:rPr>
          <w:rFonts w:asciiTheme="minorHAnsi" w:hAnsiTheme="minorHAnsi" w:cstheme="minorHAnsi"/>
        </w:rPr>
        <w:t>(DOEHRS</w:t>
      </w:r>
      <w:r w:rsidR="00B415AF">
        <w:rPr>
          <w:rFonts w:asciiTheme="minorHAnsi" w:hAnsiTheme="minorHAnsi" w:cstheme="minorHAnsi"/>
        </w:rPr>
        <w:t>-IH</w:t>
      </w:r>
      <w:r w:rsidRPr="00EB334A">
        <w:rPr>
          <w:rFonts w:asciiTheme="minorHAnsi" w:hAnsiTheme="minorHAnsi" w:cstheme="minorHAnsi"/>
        </w:rPr>
        <w:t xml:space="preserve">; </w:t>
      </w:r>
      <w:bookmarkEnd w:id="4"/>
      <w:r w:rsidR="00535D77" w:rsidRPr="00EB334A">
        <w:rPr>
          <w:rFonts w:asciiTheme="minorHAnsi" w:hAnsiTheme="minorHAnsi" w:cstheme="minorHAnsi"/>
        </w:rPr>
        <w:t>R</w:t>
      </w:r>
      <w:r w:rsidRPr="00EB334A">
        <w:rPr>
          <w:rFonts w:asciiTheme="minorHAnsi" w:hAnsiTheme="minorHAnsi" w:cstheme="minorHAnsi"/>
        </w:rPr>
        <w:t>eference</w:t>
      </w:r>
      <w:r w:rsidRPr="00EB334A">
        <w:rPr>
          <w:rFonts w:asciiTheme="minorHAnsi" w:hAnsiTheme="minorHAnsi" w:cstheme="minorHAnsi"/>
          <w:highlight w:val="yellow"/>
        </w:rPr>
        <w:t xml:space="preserve"> </w:t>
      </w:r>
      <w:r w:rsidR="0006516E" w:rsidRPr="00EB334A">
        <w:rPr>
          <w:rFonts w:asciiTheme="minorHAnsi" w:hAnsiTheme="minorHAnsi" w:cstheme="minorHAnsi"/>
          <w:highlight w:val="yellow"/>
        </w:rPr>
        <w:t>XX</w:t>
      </w:r>
      <w:r w:rsidRPr="00EB334A">
        <w:rPr>
          <w:rFonts w:asciiTheme="minorHAnsi" w:hAnsiTheme="minorHAnsi" w:cstheme="minorHAnsi"/>
        </w:rPr>
        <w:t>)</w:t>
      </w:r>
      <w:r w:rsidR="001A7B08">
        <w:rPr>
          <w:rFonts w:asciiTheme="minorHAnsi" w:hAnsiTheme="minorHAnsi" w:cstheme="minorHAnsi"/>
        </w:rPr>
        <w:t xml:space="preserve">, commonly called </w:t>
      </w:r>
      <w:r w:rsidR="001B7B97">
        <w:rPr>
          <w:rFonts w:asciiTheme="minorHAnsi" w:hAnsiTheme="minorHAnsi" w:cstheme="minorHAnsi"/>
        </w:rPr>
        <w:t>DOEHRS,</w:t>
      </w:r>
      <w:r w:rsidRPr="00EB334A">
        <w:rPr>
          <w:rFonts w:asciiTheme="minorHAnsi" w:hAnsiTheme="minorHAnsi" w:cstheme="minorHAnsi"/>
        </w:rPr>
        <w:t xml:space="preserve"> was used to gather background information compiled from the </w:t>
      </w:r>
      <w:r w:rsidRPr="00EB334A">
        <w:rPr>
          <w:rFonts w:asciiTheme="minorHAnsi" w:hAnsiTheme="minorHAnsi" w:cstheme="minorHAnsi"/>
          <w:highlight w:val="yellow"/>
        </w:rPr>
        <w:t>Occupational and Environmental Health Site Assessment (OEHSA</w:t>
      </w:r>
      <w:r w:rsidRPr="00EB334A">
        <w:rPr>
          <w:rFonts w:asciiTheme="minorHAnsi" w:hAnsiTheme="minorHAnsi" w:cstheme="minorHAnsi"/>
        </w:rPr>
        <w:t xml:space="preserve">; </w:t>
      </w:r>
      <w:r w:rsidR="00535D77" w:rsidRPr="00EB334A">
        <w:rPr>
          <w:rFonts w:asciiTheme="minorHAnsi" w:hAnsiTheme="minorHAnsi" w:cstheme="minorHAnsi"/>
        </w:rPr>
        <w:t>R</w:t>
      </w:r>
      <w:r w:rsidR="0006516E" w:rsidRPr="00EB334A">
        <w:rPr>
          <w:rFonts w:asciiTheme="minorHAnsi" w:hAnsiTheme="minorHAnsi" w:cstheme="minorHAnsi"/>
        </w:rPr>
        <w:t>eference</w:t>
      </w:r>
      <w:r w:rsidR="0006516E" w:rsidRPr="00EB334A">
        <w:rPr>
          <w:rFonts w:asciiTheme="minorHAnsi" w:hAnsiTheme="minorHAnsi" w:cstheme="minorHAnsi"/>
          <w:highlight w:val="yellow"/>
        </w:rPr>
        <w:t xml:space="preserve"> XX</w:t>
      </w:r>
      <w:r w:rsidRPr="00EB334A">
        <w:rPr>
          <w:rFonts w:asciiTheme="minorHAnsi" w:hAnsiTheme="minorHAnsi" w:cstheme="minorHAnsi"/>
        </w:rPr>
        <w:t>).</w:t>
      </w:r>
      <w:r w:rsidR="00EB334A" w:rsidRPr="00EB334A">
        <w:rPr>
          <w:rFonts w:asciiTheme="minorHAnsi" w:hAnsiTheme="minorHAnsi" w:cstheme="minorHAnsi"/>
        </w:rPr>
        <w:t xml:space="preserve"> </w:t>
      </w:r>
      <w:r w:rsidR="00EB334A" w:rsidRPr="00EB334A">
        <w:rPr>
          <w:rFonts w:asciiTheme="minorHAnsi" w:hAnsiTheme="minorHAnsi" w:cstheme="minorHAnsi"/>
          <w:color w:val="0070C0"/>
        </w:rPr>
        <w:t>[</w:t>
      </w:r>
      <w:r w:rsidR="00EB334A" w:rsidRPr="00EB334A">
        <w:rPr>
          <w:rStyle w:val="cf01"/>
          <w:rFonts w:asciiTheme="minorHAnsi" w:hAnsiTheme="minorHAnsi" w:cstheme="minorHAnsi"/>
          <w:color w:val="0070C0"/>
          <w:sz w:val="24"/>
          <w:szCs w:val="24"/>
        </w:rPr>
        <w:t>Include information from other surveys and assessments including Base Camp Assessments, Environmental Health Site Assessments, Environmental Baseline Surveys, Environmental Conditions Reports, Food and Water Risk Assessments, etc. where appropriate.]</w:t>
      </w:r>
    </w:p>
    <w:p w14:paraId="598B37FF" w14:textId="1725D5C5" w:rsidR="000F1EA7" w:rsidRPr="000F1EA7" w:rsidRDefault="005A66F1" w:rsidP="006338D0">
      <w:pPr>
        <w:rPr>
          <w:highlight w:val="yellow"/>
        </w:rPr>
      </w:pPr>
      <w:r>
        <w:br w:type="page"/>
      </w:r>
    </w:p>
    <w:p w14:paraId="0B2B41A2" w14:textId="48222154" w:rsidR="000F1EA7" w:rsidRDefault="001C70F9" w:rsidP="000F1EA7">
      <w:pPr>
        <w:rPr>
          <w:color w:val="000000"/>
        </w:rPr>
      </w:pPr>
      <w:bookmarkStart w:id="5" w:name="_Hlk141094872"/>
      <w:r w:rsidRPr="00881604">
        <w:rPr>
          <w:rStyle w:val="FootnoteReference"/>
          <w:noProof/>
        </w:rPr>
        <w:lastRenderedPageBreak/>
        <mc:AlternateContent>
          <mc:Choice Requires="wps">
            <w:drawing>
              <wp:anchor distT="45720" distB="45720" distL="114300" distR="114300" simplePos="0" relativeHeight="251659264" behindDoc="0" locked="0" layoutInCell="1" allowOverlap="1" wp14:anchorId="2D4F56E8" wp14:editId="5ECAE95E">
                <wp:simplePos x="0" y="0"/>
                <wp:positionH relativeFrom="margin">
                  <wp:posOffset>3333750</wp:posOffset>
                </wp:positionH>
                <wp:positionV relativeFrom="paragraph">
                  <wp:posOffset>426085</wp:posOffset>
                </wp:positionV>
                <wp:extent cx="3155315" cy="7296150"/>
                <wp:effectExtent l="0" t="0" r="698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7296150"/>
                        </a:xfrm>
                        <a:prstGeom prst="rect">
                          <a:avLst/>
                        </a:prstGeom>
                        <a:solidFill>
                          <a:srgbClr val="FFFFFF"/>
                        </a:solidFill>
                        <a:ln w="9525">
                          <a:noFill/>
                          <a:miter lim="800000"/>
                          <a:headEnd/>
                          <a:tailEnd/>
                        </a:ln>
                      </wps:spPr>
                      <wps:txbx>
                        <w:txbxContent>
                          <w:p w14:paraId="041A0B98" w14:textId="77777777" w:rsidR="001C70F9" w:rsidRPr="00132852" w:rsidRDefault="001C70F9" w:rsidP="001C70F9">
                            <w:pPr>
                              <w:jc w:val="center"/>
                              <w:rPr>
                                <w:sz w:val="20"/>
                                <w:szCs w:val="20"/>
                              </w:rPr>
                            </w:pPr>
                            <w:r w:rsidRPr="00132852">
                              <w:rPr>
                                <w:sz w:val="20"/>
                                <w:szCs w:val="20"/>
                              </w:rPr>
                              <w:t xml:space="preserve">Figure 1 </w:t>
                            </w:r>
                          </w:p>
                          <w:p w14:paraId="763B7AAA" w14:textId="77777777" w:rsidR="001C70F9" w:rsidRPr="00132852" w:rsidRDefault="001C70F9" w:rsidP="001C70F9">
                            <w:pPr>
                              <w:jc w:val="center"/>
                              <w:rPr>
                                <w:sz w:val="20"/>
                                <w:szCs w:val="20"/>
                              </w:rPr>
                            </w:pPr>
                            <w:r w:rsidRPr="00132852">
                              <w:rPr>
                                <w:sz w:val="20"/>
                                <w:szCs w:val="20"/>
                              </w:rPr>
                              <w:t>Health Risk Level Descriptions</w:t>
                            </w:r>
                          </w:p>
                          <w:p w14:paraId="62DDD1A7" w14:textId="77777777" w:rsidR="001C70F9" w:rsidRPr="0070784B" w:rsidRDefault="001C70F9" w:rsidP="001C70F9">
                            <w:pPr>
                              <w:jc w:val="center"/>
                              <w:rPr>
                                <w:sz w:val="16"/>
                                <w:szCs w:val="16"/>
                              </w:rPr>
                            </w:pPr>
                          </w:p>
                          <w:tbl>
                            <w:tblPr>
                              <w:tblStyle w:val="TableGrid"/>
                              <w:tblW w:w="4770" w:type="dxa"/>
                              <w:tblInd w:w="-5" w:type="dxa"/>
                              <w:tblLook w:val="04A0" w:firstRow="1" w:lastRow="0" w:firstColumn="1" w:lastColumn="0" w:noHBand="0" w:noVBand="1"/>
                            </w:tblPr>
                            <w:tblGrid>
                              <w:gridCol w:w="1017"/>
                              <w:gridCol w:w="1953"/>
                              <w:gridCol w:w="1800"/>
                            </w:tblGrid>
                            <w:tr w:rsidR="001C70F9" w:rsidRPr="0070784B" w14:paraId="1949CC99" w14:textId="77777777" w:rsidTr="00EA55F8">
                              <w:tc>
                                <w:tcPr>
                                  <w:tcW w:w="1017" w:type="dxa"/>
                                  <w:shd w:val="clear" w:color="auto" w:fill="D9D9D9" w:themeFill="background1" w:themeFillShade="D9"/>
                                </w:tcPr>
                                <w:p w14:paraId="72C0E448" w14:textId="77777777" w:rsidR="001C70F9" w:rsidRPr="00132852" w:rsidRDefault="001C70F9">
                                  <w:pPr>
                                    <w:rPr>
                                      <w:sz w:val="18"/>
                                      <w:szCs w:val="18"/>
                                    </w:rPr>
                                  </w:pPr>
                                  <w:r w:rsidRPr="00132852">
                                    <w:rPr>
                                      <w:sz w:val="18"/>
                                      <w:szCs w:val="18"/>
                                    </w:rPr>
                                    <w:t>Risk Level</w:t>
                                  </w:r>
                                </w:p>
                              </w:tc>
                              <w:tc>
                                <w:tcPr>
                                  <w:tcW w:w="1953" w:type="dxa"/>
                                  <w:shd w:val="clear" w:color="auto" w:fill="D9D9D9" w:themeFill="background1" w:themeFillShade="D9"/>
                                </w:tcPr>
                                <w:p w14:paraId="6D029E95" w14:textId="77777777" w:rsidR="001C70F9" w:rsidRPr="00132852" w:rsidRDefault="001C70F9">
                                  <w:pPr>
                                    <w:rPr>
                                      <w:sz w:val="18"/>
                                      <w:szCs w:val="18"/>
                                    </w:rPr>
                                  </w:pPr>
                                  <w:r w:rsidRPr="00132852">
                                    <w:rPr>
                                      <w:sz w:val="18"/>
                                      <w:szCs w:val="18"/>
                                    </w:rPr>
                                    <w:t>Short-term (Acute)</w:t>
                                  </w:r>
                                </w:p>
                              </w:tc>
                              <w:tc>
                                <w:tcPr>
                                  <w:tcW w:w="1800" w:type="dxa"/>
                                  <w:shd w:val="clear" w:color="auto" w:fill="D9D9D9" w:themeFill="background1" w:themeFillShade="D9"/>
                                </w:tcPr>
                                <w:p w14:paraId="188AA0DC" w14:textId="77777777" w:rsidR="001C70F9" w:rsidRPr="00132852" w:rsidRDefault="001C70F9">
                                  <w:pPr>
                                    <w:rPr>
                                      <w:sz w:val="18"/>
                                      <w:szCs w:val="18"/>
                                    </w:rPr>
                                  </w:pPr>
                                  <w:r w:rsidRPr="00132852">
                                    <w:rPr>
                                      <w:sz w:val="18"/>
                                      <w:szCs w:val="18"/>
                                    </w:rPr>
                                    <w:t>Long-term (Chronic)</w:t>
                                  </w:r>
                                </w:p>
                              </w:tc>
                            </w:tr>
                            <w:tr w:rsidR="001C70F9" w:rsidRPr="00881604" w14:paraId="1036DCE1" w14:textId="77777777" w:rsidTr="00EA55F8">
                              <w:tc>
                                <w:tcPr>
                                  <w:tcW w:w="1017" w:type="dxa"/>
                                </w:tcPr>
                                <w:p w14:paraId="3F3AD7A8" w14:textId="77777777" w:rsidR="001C70F9" w:rsidRPr="00132852" w:rsidRDefault="001C70F9" w:rsidP="008D04C7">
                                  <w:pPr>
                                    <w:rPr>
                                      <w:sz w:val="18"/>
                                      <w:szCs w:val="18"/>
                                    </w:rPr>
                                  </w:pPr>
                                  <w:r w:rsidRPr="00132852">
                                    <w:rPr>
                                      <w:sz w:val="18"/>
                                      <w:szCs w:val="18"/>
                                    </w:rPr>
                                    <w:t>Low</w:t>
                                  </w:r>
                                </w:p>
                              </w:tc>
                              <w:tc>
                                <w:tcPr>
                                  <w:tcW w:w="1953" w:type="dxa"/>
                                </w:tcPr>
                                <w:p w14:paraId="4F702C36" w14:textId="77777777" w:rsidR="001C70F9" w:rsidRPr="00132852" w:rsidRDefault="001C70F9" w:rsidP="008D04C7">
                                  <w:pPr>
                                    <w:rPr>
                                      <w:sz w:val="18"/>
                                      <w:szCs w:val="18"/>
                                    </w:rPr>
                                  </w:pPr>
                                  <w:r w:rsidRPr="00132852">
                                    <w:rPr>
                                      <w:sz w:val="18"/>
                                      <w:szCs w:val="18"/>
                                    </w:rPr>
                                    <w:t>Health effects will have little to no risk to the mission.</w:t>
                                  </w:r>
                                </w:p>
                              </w:tc>
                              <w:tc>
                                <w:tcPr>
                                  <w:tcW w:w="1800" w:type="dxa"/>
                                </w:tcPr>
                                <w:p w14:paraId="1D5CE7D7"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 not expected.</w:t>
                                  </w:r>
                                </w:p>
                              </w:tc>
                            </w:tr>
                            <w:tr w:rsidR="001C70F9" w:rsidRPr="00881604" w14:paraId="2F561C57" w14:textId="77777777" w:rsidTr="00EA55F8">
                              <w:tc>
                                <w:tcPr>
                                  <w:tcW w:w="1017" w:type="dxa"/>
                                </w:tcPr>
                                <w:p w14:paraId="23C458F0" w14:textId="77777777" w:rsidR="001C70F9" w:rsidRPr="00132852" w:rsidRDefault="001C70F9" w:rsidP="008D04C7">
                                  <w:pPr>
                                    <w:rPr>
                                      <w:sz w:val="18"/>
                                      <w:szCs w:val="18"/>
                                    </w:rPr>
                                  </w:pPr>
                                  <w:r w:rsidRPr="00132852">
                                    <w:rPr>
                                      <w:sz w:val="18"/>
                                      <w:szCs w:val="18"/>
                                    </w:rPr>
                                    <w:t>Moderate</w:t>
                                  </w:r>
                                </w:p>
                              </w:tc>
                              <w:tc>
                                <w:tcPr>
                                  <w:tcW w:w="1953" w:type="dxa"/>
                                </w:tcPr>
                                <w:p w14:paraId="3E94C7AE" w14:textId="77777777" w:rsidR="001C70F9" w:rsidRPr="00132852" w:rsidRDefault="001C70F9" w:rsidP="008D04C7">
                                  <w:pPr>
                                    <w:rPr>
                                      <w:sz w:val="18"/>
                                      <w:szCs w:val="18"/>
                                    </w:rPr>
                                  </w:pPr>
                                  <w:r w:rsidRPr="00132852">
                                    <w:rPr>
                                      <w:sz w:val="18"/>
                                      <w:szCs w:val="18"/>
                                    </w:rPr>
                                    <w:t>Health effects may lead to degraded mission capabilities.</w:t>
                                  </w:r>
                                </w:p>
                              </w:tc>
                              <w:tc>
                                <w:tcPr>
                                  <w:tcW w:w="1800" w:type="dxa"/>
                                </w:tcPr>
                                <w:p w14:paraId="6CBD258A"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 not expected, but possible for sensitive personnel.</w:t>
                                  </w:r>
                                </w:p>
                              </w:tc>
                            </w:tr>
                            <w:tr w:rsidR="001C70F9" w:rsidRPr="00881604" w14:paraId="483482BC" w14:textId="77777777" w:rsidTr="00EA55F8">
                              <w:tc>
                                <w:tcPr>
                                  <w:tcW w:w="1017" w:type="dxa"/>
                                </w:tcPr>
                                <w:p w14:paraId="1589FD2A" w14:textId="77777777" w:rsidR="001C70F9" w:rsidRPr="00132852" w:rsidRDefault="001C70F9" w:rsidP="008D04C7">
                                  <w:pPr>
                                    <w:rPr>
                                      <w:sz w:val="18"/>
                                      <w:szCs w:val="18"/>
                                    </w:rPr>
                                  </w:pPr>
                                  <w:r w:rsidRPr="00132852">
                                    <w:rPr>
                                      <w:sz w:val="18"/>
                                      <w:szCs w:val="18"/>
                                    </w:rPr>
                                    <w:t>High</w:t>
                                  </w:r>
                                </w:p>
                              </w:tc>
                              <w:tc>
                                <w:tcPr>
                                  <w:tcW w:w="1953" w:type="dxa"/>
                                </w:tcPr>
                                <w:p w14:paraId="69C1F9A4" w14:textId="77777777" w:rsidR="001C70F9" w:rsidRPr="00132852" w:rsidRDefault="001C70F9" w:rsidP="008D04C7">
                                  <w:pPr>
                                    <w:rPr>
                                      <w:sz w:val="18"/>
                                      <w:szCs w:val="18"/>
                                    </w:rPr>
                                  </w:pPr>
                                  <w:r w:rsidRPr="00132852">
                                    <w:rPr>
                                      <w:sz w:val="18"/>
                                      <w:szCs w:val="18"/>
                                    </w:rPr>
                                    <w:t>Health effects may lead to significant degradation of capabilities.</w:t>
                                  </w:r>
                                </w:p>
                              </w:tc>
                              <w:tc>
                                <w:tcPr>
                                  <w:tcW w:w="1800" w:type="dxa"/>
                                </w:tcPr>
                                <w:p w14:paraId="5192EA0F"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w:t>
                                  </w:r>
                                </w:p>
                                <w:p w14:paraId="0C2A275B" w14:textId="77777777" w:rsidR="001C70F9" w:rsidRPr="00132852" w:rsidRDefault="001C70F9" w:rsidP="008D04C7">
                                  <w:pPr>
                                    <w:rPr>
                                      <w:rFonts w:asciiTheme="minorHAnsi" w:hAnsiTheme="minorHAnsi" w:cstheme="minorHAnsi"/>
                                      <w:sz w:val="18"/>
                                      <w:szCs w:val="18"/>
                                    </w:rPr>
                                  </w:pPr>
                                  <w:r w:rsidRPr="00132852">
                                    <w:rPr>
                                      <w:rFonts w:asciiTheme="minorHAnsi" w:hAnsiTheme="minorHAnsi" w:cstheme="minorHAnsi"/>
                                      <w:sz w:val="18"/>
                                      <w:szCs w:val="18"/>
                                    </w:rPr>
                                    <w:t>possible.</w:t>
                                  </w:r>
                                </w:p>
                              </w:tc>
                            </w:tr>
                            <w:tr w:rsidR="001C70F9" w:rsidRPr="00881604" w14:paraId="1F9AB6D8" w14:textId="77777777" w:rsidTr="00EA55F8">
                              <w:tc>
                                <w:tcPr>
                                  <w:tcW w:w="1017" w:type="dxa"/>
                                </w:tcPr>
                                <w:p w14:paraId="21883460" w14:textId="77777777" w:rsidR="001C70F9" w:rsidRPr="00132852" w:rsidRDefault="001C70F9" w:rsidP="008D04C7">
                                  <w:pPr>
                                    <w:rPr>
                                      <w:sz w:val="18"/>
                                      <w:szCs w:val="18"/>
                                    </w:rPr>
                                  </w:pPr>
                                  <w:r w:rsidRPr="00132852">
                                    <w:rPr>
                                      <w:sz w:val="18"/>
                                      <w:szCs w:val="18"/>
                                    </w:rPr>
                                    <w:t>Extremely High</w:t>
                                  </w:r>
                                </w:p>
                              </w:tc>
                              <w:tc>
                                <w:tcPr>
                                  <w:tcW w:w="1953" w:type="dxa"/>
                                </w:tcPr>
                                <w:p w14:paraId="014E04B2" w14:textId="77777777" w:rsidR="001C70F9" w:rsidRPr="00132852" w:rsidRDefault="001C70F9" w:rsidP="008D04C7">
                                  <w:pPr>
                                    <w:rPr>
                                      <w:sz w:val="18"/>
                                      <w:szCs w:val="18"/>
                                    </w:rPr>
                                  </w:pPr>
                                  <w:r w:rsidRPr="00132852">
                                    <w:rPr>
                                      <w:sz w:val="18"/>
                                      <w:szCs w:val="18"/>
                                    </w:rPr>
                                    <w:t>Health effects may lead to loss of ability to accomplish the mission.</w:t>
                                  </w:r>
                                </w:p>
                              </w:tc>
                              <w:tc>
                                <w:tcPr>
                                  <w:tcW w:w="1800" w:type="dxa"/>
                                </w:tcPr>
                                <w:p w14:paraId="2916CE86"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w:t>
                                  </w:r>
                                </w:p>
                                <w:p w14:paraId="6AFDA473" w14:textId="77777777" w:rsidR="001C70F9" w:rsidRPr="00132852" w:rsidRDefault="001C70F9" w:rsidP="008D04C7">
                                  <w:pPr>
                                    <w:rPr>
                                      <w:rFonts w:asciiTheme="minorHAnsi" w:hAnsiTheme="minorHAnsi" w:cstheme="minorHAnsi"/>
                                      <w:sz w:val="18"/>
                                      <w:szCs w:val="18"/>
                                    </w:rPr>
                                  </w:pPr>
                                  <w:r w:rsidRPr="00132852">
                                    <w:rPr>
                                      <w:rFonts w:asciiTheme="minorHAnsi" w:hAnsiTheme="minorHAnsi" w:cstheme="minorHAnsi"/>
                                      <w:sz w:val="18"/>
                                      <w:szCs w:val="18"/>
                                    </w:rPr>
                                    <w:t>possible.</w:t>
                                  </w:r>
                                </w:p>
                              </w:tc>
                            </w:tr>
                          </w:tbl>
                          <w:p w14:paraId="0D653D49" w14:textId="77777777" w:rsidR="001C70F9" w:rsidRPr="0070784B" w:rsidRDefault="001C70F9" w:rsidP="001C70F9">
                            <w:pPr>
                              <w:jc w:val="center"/>
                              <w:rPr>
                                <w:sz w:val="16"/>
                                <w:szCs w:val="16"/>
                              </w:rPr>
                            </w:pPr>
                          </w:p>
                          <w:p w14:paraId="7FECD190" w14:textId="77777777" w:rsidR="001C70F9" w:rsidRPr="00132852" w:rsidRDefault="001C70F9" w:rsidP="001C70F9">
                            <w:pPr>
                              <w:jc w:val="center"/>
                              <w:rPr>
                                <w:sz w:val="20"/>
                                <w:szCs w:val="20"/>
                              </w:rPr>
                            </w:pPr>
                            <w:r w:rsidRPr="00132852">
                              <w:rPr>
                                <w:sz w:val="20"/>
                                <w:szCs w:val="20"/>
                              </w:rPr>
                              <w:t xml:space="preserve">Figure 2 </w:t>
                            </w:r>
                          </w:p>
                          <w:p w14:paraId="3B307C6C" w14:textId="77777777" w:rsidR="001C70F9" w:rsidRPr="00132852" w:rsidRDefault="001C70F9" w:rsidP="001C70F9">
                            <w:pPr>
                              <w:jc w:val="center"/>
                              <w:rPr>
                                <w:sz w:val="20"/>
                                <w:szCs w:val="20"/>
                              </w:rPr>
                            </w:pPr>
                            <w:r w:rsidRPr="00132852">
                              <w:rPr>
                                <w:sz w:val="20"/>
                                <w:szCs w:val="20"/>
                              </w:rPr>
                              <w:t>Hazard Severity Health Effects Definitions</w:t>
                            </w:r>
                          </w:p>
                          <w:p w14:paraId="4E21FF7E" w14:textId="77777777" w:rsidR="001C70F9" w:rsidRPr="0070784B" w:rsidRDefault="001C70F9" w:rsidP="001C70F9">
                            <w:pPr>
                              <w:jc w:val="center"/>
                              <w:rPr>
                                <w:sz w:val="16"/>
                                <w:szCs w:val="16"/>
                              </w:rPr>
                            </w:pPr>
                          </w:p>
                          <w:tbl>
                            <w:tblPr>
                              <w:tblStyle w:val="TableGrid"/>
                              <w:tblW w:w="4680" w:type="dxa"/>
                              <w:tblInd w:w="-5" w:type="dxa"/>
                              <w:tblLook w:val="04A0" w:firstRow="1" w:lastRow="0" w:firstColumn="1" w:lastColumn="0" w:noHBand="0" w:noVBand="1"/>
                            </w:tblPr>
                            <w:tblGrid>
                              <w:gridCol w:w="1227"/>
                              <w:gridCol w:w="1721"/>
                              <w:gridCol w:w="1732"/>
                            </w:tblGrid>
                            <w:tr w:rsidR="001C70F9" w:rsidRPr="006E1B0F" w14:paraId="1F8FDDF1" w14:textId="77777777" w:rsidTr="00B7523F">
                              <w:tc>
                                <w:tcPr>
                                  <w:tcW w:w="1115" w:type="dxa"/>
                                  <w:shd w:val="clear" w:color="auto" w:fill="D9D9D9" w:themeFill="background1" w:themeFillShade="D9"/>
                                </w:tcPr>
                                <w:p w14:paraId="095370D3" w14:textId="77777777" w:rsidR="001C70F9" w:rsidRPr="00132852" w:rsidRDefault="001C70F9" w:rsidP="0014763F">
                                  <w:pPr>
                                    <w:rPr>
                                      <w:sz w:val="18"/>
                                      <w:szCs w:val="18"/>
                                    </w:rPr>
                                  </w:pPr>
                                  <w:r w:rsidRPr="00132852">
                                    <w:rPr>
                                      <w:sz w:val="18"/>
                                      <w:szCs w:val="18"/>
                                    </w:rPr>
                                    <w:t>Hazard Severity</w:t>
                                  </w:r>
                                </w:p>
                              </w:tc>
                              <w:tc>
                                <w:tcPr>
                                  <w:tcW w:w="1765" w:type="dxa"/>
                                  <w:shd w:val="clear" w:color="auto" w:fill="D9D9D9" w:themeFill="background1" w:themeFillShade="D9"/>
                                </w:tcPr>
                                <w:p w14:paraId="611BFF47" w14:textId="77777777" w:rsidR="001C70F9" w:rsidRPr="00132852" w:rsidRDefault="001C70F9" w:rsidP="0014763F">
                                  <w:pPr>
                                    <w:rPr>
                                      <w:sz w:val="18"/>
                                      <w:szCs w:val="18"/>
                                    </w:rPr>
                                  </w:pPr>
                                  <w:r w:rsidRPr="00132852">
                                    <w:rPr>
                                      <w:sz w:val="18"/>
                                      <w:szCs w:val="18"/>
                                    </w:rPr>
                                    <w:t>Short-term (Acute)</w:t>
                                  </w:r>
                                </w:p>
                              </w:tc>
                              <w:tc>
                                <w:tcPr>
                                  <w:tcW w:w="1800" w:type="dxa"/>
                                  <w:shd w:val="clear" w:color="auto" w:fill="D9D9D9" w:themeFill="background1" w:themeFillShade="D9"/>
                                </w:tcPr>
                                <w:p w14:paraId="0A1D4294" w14:textId="77777777" w:rsidR="001C70F9" w:rsidRPr="00132852" w:rsidRDefault="001C70F9" w:rsidP="0014763F">
                                  <w:pPr>
                                    <w:rPr>
                                      <w:sz w:val="18"/>
                                      <w:szCs w:val="18"/>
                                    </w:rPr>
                                  </w:pPr>
                                  <w:r w:rsidRPr="00132852">
                                    <w:rPr>
                                      <w:sz w:val="18"/>
                                      <w:szCs w:val="18"/>
                                    </w:rPr>
                                    <w:t>Long-term (Chronic)</w:t>
                                  </w:r>
                                </w:p>
                              </w:tc>
                            </w:tr>
                            <w:tr w:rsidR="001C70F9" w:rsidRPr="006E1B0F" w14:paraId="0B5D6779" w14:textId="77777777" w:rsidTr="00B05A47">
                              <w:tc>
                                <w:tcPr>
                                  <w:tcW w:w="1115" w:type="dxa"/>
                                </w:tcPr>
                                <w:p w14:paraId="6D422689" w14:textId="77777777" w:rsidR="001C70F9" w:rsidRPr="00132852" w:rsidRDefault="001C70F9" w:rsidP="00E7046B">
                                  <w:pPr>
                                    <w:rPr>
                                      <w:sz w:val="18"/>
                                      <w:szCs w:val="18"/>
                                    </w:rPr>
                                  </w:pPr>
                                  <w:r w:rsidRPr="00132852">
                                    <w:rPr>
                                      <w:sz w:val="18"/>
                                      <w:szCs w:val="18"/>
                                    </w:rPr>
                                    <w:t>Negligible</w:t>
                                  </w:r>
                                </w:p>
                              </w:tc>
                              <w:tc>
                                <w:tcPr>
                                  <w:tcW w:w="1765" w:type="dxa"/>
                                </w:tcPr>
                                <w:p w14:paraId="1DCD5A9F" w14:textId="77777777" w:rsidR="001C70F9" w:rsidRPr="00132852" w:rsidRDefault="001C70F9" w:rsidP="00E7046B">
                                  <w:pPr>
                                    <w:rPr>
                                      <w:sz w:val="18"/>
                                      <w:szCs w:val="18"/>
                                    </w:rPr>
                                  </w:pPr>
                                  <w:r w:rsidRPr="00132852">
                                    <w:rPr>
                                      <w:sz w:val="18"/>
                                      <w:szCs w:val="18"/>
                                    </w:rPr>
                                    <w:t>Few exposed personnel (if any) are expected to have noticeable health effects during mission</w:t>
                                  </w:r>
                                </w:p>
                              </w:tc>
                              <w:tc>
                                <w:tcPr>
                                  <w:tcW w:w="1800" w:type="dxa"/>
                                </w:tcPr>
                                <w:p w14:paraId="6A1A3B2F" w14:textId="77777777" w:rsidR="001C70F9" w:rsidRPr="00132852" w:rsidRDefault="001C70F9" w:rsidP="00E7046B">
                                  <w:pPr>
                                    <w:rPr>
                                      <w:sz w:val="18"/>
                                      <w:szCs w:val="18"/>
                                    </w:rPr>
                                  </w:pPr>
                                  <w:r w:rsidRPr="00132852">
                                    <w:rPr>
                                      <w:sz w:val="18"/>
                                      <w:szCs w:val="18"/>
                                    </w:rPr>
                                    <w:t>Few exposed personnel (if any) are expected to develop delayed onset, irreversible effects</w:t>
                                  </w:r>
                                </w:p>
                              </w:tc>
                            </w:tr>
                            <w:tr w:rsidR="001C70F9" w:rsidRPr="006E1B0F" w14:paraId="18848A0C" w14:textId="77777777" w:rsidTr="00B05A47">
                              <w:tc>
                                <w:tcPr>
                                  <w:tcW w:w="1115" w:type="dxa"/>
                                </w:tcPr>
                                <w:p w14:paraId="195747EE" w14:textId="77777777" w:rsidR="001C70F9" w:rsidRPr="00132852" w:rsidRDefault="001C70F9" w:rsidP="00E7046B">
                                  <w:pPr>
                                    <w:rPr>
                                      <w:sz w:val="18"/>
                                      <w:szCs w:val="18"/>
                                    </w:rPr>
                                  </w:pPr>
                                  <w:r w:rsidRPr="00132852">
                                    <w:rPr>
                                      <w:sz w:val="18"/>
                                      <w:szCs w:val="18"/>
                                    </w:rPr>
                                    <w:t>Marginal</w:t>
                                  </w:r>
                                </w:p>
                              </w:tc>
                              <w:tc>
                                <w:tcPr>
                                  <w:tcW w:w="1765" w:type="dxa"/>
                                </w:tcPr>
                                <w:p w14:paraId="446F2710" w14:textId="77777777" w:rsidR="001C70F9" w:rsidRPr="00132852" w:rsidRDefault="001C70F9" w:rsidP="00E7046B">
                                  <w:pPr>
                                    <w:rPr>
                                      <w:sz w:val="18"/>
                                      <w:szCs w:val="18"/>
                                    </w:rPr>
                                  </w:pPr>
                                  <w:r w:rsidRPr="00132852">
                                    <w:rPr>
                                      <w:sz w:val="18"/>
                                      <w:szCs w:val="18"/>
                                    </w:rPr>
                                    <w:t>Many exposed persons are expected to have noticeable but not incapacitating health effects</w:t>
                                  </w:r>
                                </w:p>
                              </w:tc>
                              <w:tc>
                                <w:tcPr>
                                  <w:tcW w:w="1800" w:type="dxa"/>
                                </w:tcPr>
                                <w:p w14:paraId="773A7417" w14:textId="77777777" w:rsidR="001C70F9" w:rsidRPr="00132852" w:rsidRDefault="001C70F9" w:rsidP="00E7046B">
                                  <w:pPr>
                                    <w:rPr>
                                      <w:sz w:val="18"/>
                                      <w:szCs w:val="18"/>
                                    </w:rPr>
                                  </w:pPr>
                                  <w:r w:rsidRPr="00132852">
                                    <w:rPr>
                                      <w:sz w:val="18"/>
                                      <w:szCs w:val="18"/>
                                    </w:rPr>
                                    <w:t>Many exposed personnel are plausibly expected to develop delayed onset, irreversible effects</w:t>
                                  </w:r>
                                </w:p>
                              </w:tc>
                            </w:tr>
                            <w:tr w:rsidR="001C70F9" w:rsidRPr="006E1B0F" w14:paraId="2B9A43D3" w14:textId="77777777" w:rsidTr="00B05A47">
                              <w:tc>
                                <w:tcPr>
                                  <w:tcW w:w="1115" w:type="dxa"/>
                                </w:tcPr>
                                <w:p w14:paraId="2FB0B338" w14:textId="77777777" w:rsidR="001C70F9" w:rsidRPr="00132852" w:rsidRDefault="001C70F9" w:rsidP="00E7046B">
                                  <w:pPr>
                                    <w:rPr>
                                      <w:sz w:val="18"/>
                                      <w:szCs w:val="18"/>
                                    </w:rPr>
                                  </w:pPr>
                                  <w:r w:rsidRPr="00132852">
                                    <w:rPr>
                                      <w:sz w:val="18"/>
                                      <w:szCs w:val="18"/>
                                    </w:rPr>
                                    <w:t>Critical</w:t>
                                  </w:r>
                                </w:p>
                              </w:tc>
                              <w:tc>
                                <w:tcPr>
                                  <w:tcW w:w="1765" w:type="dxa"/>
                                </w:tcPr>
                                <w:p w14:paraId="28D8426A" w14:textId="77777777" w:rsidR="001C70F9" w:rsidRPr="00132852" w:rsidRDefault="001C70F9" w:rsidP="00E7046B">
                                  <w:pPr>
                                    <w:rPr>
                                      <w:sz w:val="18"/>
                                      <w:szCs w:val="18"/>
                                    </w:rPr>
                                  </w:pPr>
                                  <w:r w:rsidRPr="00132852">
                                    <w:rPr>
                                      <w:sz w:val="18"/>
                                      <w:szCs w:val="18"/>
                                    </w:rPr>
                                    <w:t>Indicates personnel are expected to have incapacitating health effects that require immediate medical treatment or support</w:t>
                                  </w:r>
                                </w:p>
                              </w:tc>
                              <w:tc>
                                <w:tcPr>
                                  <w:tcW w:w="1800" w:type="dxa"/>
                                </w:tcPr>
                                <w:p w14:paraId="0B789289" w14:textId="77777777" w:rsidR="001C70F9" w:rsidRPr="00132852" w:rsidRDefault="001C70F9" w:rsidP="00E7046B">
                                  <w:pPr>
                                    <w:rPr>
                                      <w:sz w:val="18"/>
                                      <w:szCs w:val="18"/>
                                    </w:rPr>
                                  </w:pPr>
                                  <w:r w:rsidRPr="00132852">
                                    <w:rPr>
                                      <w:sz w:val="18"/>
                                      <w:szCs w:val="18"/>
                                    </w:rPr>
                                    <w:t>The majority (or all) exposed personnel are plausibly expected to develop delayed onset, irreversible effects.</w:t>
                                  </w:r>
                                </w:p>
                              </w:tc>
                            </w:tr>
                            <w:tr w:rsidR="001C70F9" w:rsidRPr="006E1B0F" w14:paraId="7C93341E" w14:textId="77777777" w:rsidTr="00B05A47">
                              <w:tc>
                                <w:tcPr>
                                  <w:tcW w:w="1115" w:type="dxa"/>
                                </w:tcPr>
                                <w:p w14:paraId="5828B604" w14:textId="77777777" w:rsidR="001C70F9" w:rsidRPr="00AA5590" w:rsidRDefault="001C70F9" w:rsidP="00E7046B">
                                  <w:pPr>
                                    <w:rPr>
                                      <w:sz w:val="18"/>
                                      <w:szCs w:val="18"/>
                                    </w:rPr>
                                  </w:pPr>
                                  <w:r w:rsidRPr="00AA5590">
                                    <w:rPr>
                                      <w:sz w:val="18"/>
                                      <w:szCs w:val="18"/>
                                    </w:rPr>
                                    <w:t>Catastrophic</w:t>
                                  </w:r>
                                </w:p>
                              </w:tc>
                              <w:tc>
                                <w:tcPr>
                                  <w:tcW w:w="1765" w:type="dxa"/>
                                </w:tcPr>
                                <w:p w14:paraId="2CDB926B" w14:textId="77777777" w:rsidR="001C70F9" w:rsidRPr="00AA5590" w:rsidRDefault="001C70F9" w:rsidP="00E7046B">
                                  <w:pPr>
                                    <w:rPr>
                                      <w:sz w:val="18"/>
                                      <w:szCs w:val="18"/>
                                    </w:rPr>
                                  </w:pPr>
                                  <w:r w:rsidRPr="00AA5590">
                                    <w:rPr>
                                      <w:sz w:val="18"/>
                                      <w:szCs w:val="18"/>
                                    </w:rPr>
                                    <w:t>Severe incapacitating effects requiring immediate and significant medical attention</w:t>
                                  </w:r>
                                </w:p>
                              </w:tc>
                              <w:tc>
                                <w:tcPr>
                                  <w:tcW w:w="1800" w:type="dxa"/>
                                </w:tcPr>
                                <w:p w14:paraId="7E8CD9F9" w14:textId="77777777" w:rsidR="001C70F9" w:rsidRPr="00AA5590" w:rsidRDefault="001C70F9" w:rsidP="00E7046B">
                                  <w:pPr>
                                    <w:rPr>
                                      <w:sz w:val="18"/>
                                      <w:szCs w:val="18"/>
                                    </w:rPr>
                                  </w:pPr>
                                  <w:r w:rsidRPr="00AA5590">
                                    <w:rPr>
                                      <w:sz w:val="18"/>
                                      <w:szCs w:val="18"/>
                                    </w:rPr>
                                    <w:t>Those that survive the acute situation may be at increased risk for certain chronic effects</w:t>
                                  </w:r>
                                </w:p>
                              </w:tc>
                            </w:tr>
                          </w:tbl>
                          <w:p w14:paraId="36435D1B" w14:textId="77777777" w:rsidR="001C70F9" w:rsidRDefault="001C70F9" w:rsidP="001C7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F56E8" id="_x0000_t202" coordsize="21600,21600" o:spt="202" path="m,l,21600r21600,l21600,xe">
                <v:stroke joinstyle="miter"/>
                <v:path gradientshapeok="t" o:connecttype="rect"/>
              </v:shapetype>
              <v:shape id="Text Box 217" o:spid="_x0000_s1026" type="#_x0000_t202" style="position:absolute;margin-left:262.5pt;margin-top:33.55pt;width:248.45pt;height:57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" stroked="f">
                <v:textbox>
                  <w:txbxContent>
                    <w:p w14:paraId="041A0B98" w14:textId="77777777" w:rsidR="001C70F9" w:rsidRPr="00132852" w:rsidRDefault="001C70F9" w:rsidP="001C70F9">
                      <w:pPr>
                        <w:jc w:val="center"/>
                        <w:rPr>
                          <w:sz w:val="20"/>
                          <w:szCs w:val="20"/>
                        </w:rPr>
                      </w:pPr>
                      <w:r w:rsidRPr="00132852">
                        <w:rPr>
                          <w:sz w:val="20"/>
                          <w:szCs w:val="20"/>
                        </w:rPr>
                        <w:t xml:space="preserve">Figure 1 </w:t>
                      </w:r>
                    </w:p>
                    <w:p w14:paraId="763B7AAA" w14:textId="77777777" w:rsidR="001C70F9" w:rsidRPr="00132852" w:rsidRDefault="001C70F9" w:rsidP="001C70F9">
                      <w:pPr>
                        <w:jc w:val="center"/>
                        <w:rPr>
                          <w:sz w:val="20"/>
                          <w:szCs w:val="20"/>
                        </w:rPr>
                      </w:pPr>
                      <w:r w:rsidRPr="00132852">
                        <w:rPr>
                          <w:sz w:val="20"/>
                          <w:szCs w:val="20"/>
                        </w:rPr>
                        <w:t>Health Risk Level Descriptions</w:t>
                      </w:r>
                    </w:p>
                    <w:p w14:paraId="62DDD1A7" w14:textId="77777777" w:rsidR="001C70F9" w:rsidRPr="0070784B" w:rsidRDefault="001C70F9" w:rsidP="001C70F9">
                      <w:pPr>
                        <w:jc w:val="center"/>
                        <w:rPr>
                          <w:sz w:val="16"/>
                          <w:szCs w:val="16"/>
                        </w:rPr>
                      </w:pPr>
                    </w:p>
                    <w:tbl>
                      <w:tblPr>
                        <w:tblStyle w:val="TableGrid"/>
                        <w:tblW w:w="4770" w:type="dxa"/>
                        <w:tblInd w:w="-5" w:type="dxa"/>
                        <w:tblLook w:val="04A0" w:firstRow="1" w:lastRow="0" w:firstColumn="1" w:lastColumn="0" w:noHBand="0" w:noVBand="1"/>
                      </w:tblPr>
                      <w:tblGrid>
                        <w:gridCol w:w="1017"/>
                        <w:gridCol w:w="1953"/>
                        <w:gridCol w:w="1800"/>
                      </w:tblGrid>
                      <w:tr w:rsidR="001C70F9" w:rsidRPr="0070784B" w14:paraId="1949CC99" w14:textId="77777777" w:rsidTr="00EA55F8">
                        <w:tc>
                          <w:tcPr>
                            <w:tcW w:w="1017" w:type="dxa"/>
                            <w:shd w:val="clear" w:color="auto" w:fill="D9D9D9" w:themeFill="background1" w:themeFillShade="D9"/>
                          </w:tcPr>
                          <w:p w14:paraId="72C0E448" w14:textId="77777777" w:rsidR="001C70F9" w:rsidRPr="00132852" w:rsidRDefault="001C70F9">
                            <w:pPr>
                              <w:rPr>
                                <w:sz w:val="18"/>
                                <w:szCs w:val="18"/>
                              </w:rPr>
                            </w:pPr>
                            <w:r w:rsidRPr="00132852">
                              <w:rPr>
                                <w:sz w:val="18"/>
                                <w:szCs w:val="18"/>
                              </w:rPr>
                              <w:t>Risk Level</w:t>
                            </w:r>
                          </w:p>
                        </w:tc>
                        <w:tc>
                          <w:tcPr>
                            <w:tcW w:w="1953" w:type="dxa"/>
                            <w:shd w:val="clear" w:color="auto" w:fill="D9D9D9" w:themeFill="background1" w:themeFillShade="D9"/>
                          </w:tcPr>
                          <w:p w14:paraId="6D029E95" w14:textId="77777777" w:rsidR="001C70F9" w:rsidRPr="00132852" w:rsidRDefault="001C70F9">
                            <w:pPr>
                              <w:rPr>
                                <w:sz w:val="18"/>
                                <w:szCs w:val="18"/>
                              </w:rPr>
                            </w:pPr>
                            <w:r w:rsidRPr="00132852">
                              <w:rPr>
                                <w:sz w:val="18"/>
                                <w:szCs w:val="18"/>
                              </w:rPr>
                              <w:t>Short-term (Acute)</w:t>
                            </w:r>
                          </w:p>
                        </w:tc>
                        <w:tc>
                          <w:tcPr>
                            <w:tcW w:w="1800" w:type="dxa"/>
                            <w:shd w:val="clear" w:color="auto" w:fill="D9D9D9" w:themeFill="background1" w:themeFillShade="D9"/>
                          </w:tcPr>
                          <w:p w14:paraId="188AA0DC" w14:textId="77777777" w:rsidR="001C70F9" w:rsidRPr="00132852" w:rsidRDefault="001C70F9">
                            <w:pPr>
                              <w:rPr>
                                <w:sz w:val="18"/>
                                <w:szCs w:val="18"/>
                              </w:rPr>
                            </w:pPr>
                            <w:r w:rsidRPr="00132852">
                              <w:rPr>
                                <w:sz w:val="18"/>
                                <w:szCs w:val="18"/>
                              </w:rPr>
                              <w:t>Long-term (Chronic)</w:t>
                            </w:r>
                          </w:p>
                        </w:tc>
                      </w:tr>
                      <w:tr w:rsidR="001C70F9" w:rsidRPr="00881604" w14:paraId="1036DCE1" w14:textId="77777777" w:rsidTr="00EA55F8">
                        <w:tc>
                          <w:tcPr>
                            <w:tcW w:w="1017" w:type="dxa"/>
                          </w:tcPr>
                          <w:p w14:paraId="3F3AD7A8" w14:textId="77777777" w:rsidR="001C70F9" w:rsidRPr="00132852" w:rsidRDefault="001C70F9" w:rsidP="008D04C7">
                            <w:pPr>
                              <w:rPr>
                                <w:sz w:val="18"/>
                                <w:szCs w:val="18"/>
                              </w:rPr>
                            </w:pPr>
                            <w:r w:rsidRPr="00132852">
                              <w:rPr>
                                <w:sz w:val="18"/>
                                <w:szCs w:val="18"/>
                              </w:rPr>
                              <w:t>Low</w:t>
                            </w:r>
                          </w:p>
                        </w:tc>
                        <w:tc>
                          <w:tcPr>
                            <w:tcW w:w="1953" w:type="dxa"/>
                          </w:tcPr>
                          <w:p w14:paraId="4F702C36" w14:textId="77777777" w:rsidR="001C70F9" w:rsidRPr="00132852" w:rsidRDefault="001C70F9" w:rsidP="008D04C7">
                            <w:pPr>
                              <w:rPr>
                                <w:sz w:val="18"/>
                                <w:szCs w:val="18"/>
                              </w:rPr>
                            </w:pPr>
                            <w:r w:rsidRPr="00132852">
                              <w:rPr>
                                <w:sz w:val="18"/>
                                <w:szCs w:val="18"/>
                              </w:rPr>
                              <w:t>Health effects will have little to no risk to the mission.</w:t>
                            </w:r>
                          </w:p>
                        </w:tc>
                        <w:tc>
                          <w:tcPr>
                            <w:tcW w:w="1800" w:type="dxa"/>
                          </w:tcPr>
                          <w:p w14:paraId="1D5CE7D7"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 not expected.</w:t>
                            </w:r>
                          </w:p>
                        </w:tc>
                      </w:tr>
                      <w:tr w:rsidR="001C70F9" w:rsidRPr="00881604" w14:paraId="2F561C57" w14:textId="77777777" w:rsidTr="00EA55F8">
                        <w:tc>
                          <w:tcPr>
                            <w:tcW w:w="1017" w:type="dxa"/>
                          </w:tcPr>
                          <w:p w14:paraId="23C458F0" w14:textId="77777777" w:rsidR="001C70F9" w:rsidRPr="00132852" w:rsidRDefault="001C70F9" w:rsidP="008D04C7">
                            <w:pPr>
                              <w:rPr>
                                <w:sz w:val="18"/>
                                <w:szCs w:val="18"/>
                              </w:rPr>
                            </w:pPr>
                            <w:r w:rsidRPr="00132852">
                              <w:rPr>
                                <w:sz w:val="18"/>
                                <w:szCs w:val="18"/>
                              </w:rPr>
                              <w:t>Moderate</w:t>
                            </w:r>
                          </w:p>
                        </w:tc>
                        <w:tc>
                          <w:tcPr>
                            <w:tcW w:w="1953" w:type="dxa"/>
                          </w:tcPr>
                          <w:p w14:paraId="3E94C7AE" w14:textId="77777777" w:rsidR="001C70F9" w:rsidRPr="00132852" w:rsidRDefault="001C70F9" w:rsidP="008D04C7">
                            <w:pPr>
                              <w:rPr>
                                <w:sz w:val="18"/>
                                <w:szCs w:val="18"/>
                              </w:rPr>
                            </w:pPr>
                            <w:r w:rsidRPr="00132852">
                              <w:rPr>
                                <w:sz w:val="18"/>
                                <w:szCs w:val="18"/>
                              </w:rPr>
                              <w:t>Health effects may lead to degraded mission capabilities.</w:t>
                            </w:r>
                          </w:p>
                        </w:tc>
                        <w:tc>
                          <w:tcPr>
                            <w:tcW w:w="1800" w:type="dxa"/>
                          </w:tcPr>
                          <w:p w14:paraId="6CBD258A"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 not expected, but possible for sensitive personnel.</w:t>
                            </w:r>
                          </w:p>
                        </w:tc>
                      </w:tr>
                      <w:tr w:rsidR="001C70F9" w:rsidRPr="00881604" w14:paraId="483482BC" w14:textId="77777777" w:rsidTr="00EA55F8">
                        <w:tc>
                          <w:tcPr>
                            <w:tcW w:w="1017" w:type="dxa"/>
                          </w:tcPr>
                          <w:p w14:paraId="1589FD2A" w14:textId="77777777" w:rsidR="001C70F9" w:rsidRPr="00132852" w:rsidRDefault="001C70F9" w:rsidP="008D04C7">
                            <w:pPr>
                              <w:rPr>
                                <w:sz w:val="18"/>
                                <w:szCs w:val="18"/>
                              </w:rPr>
                            </w:pPr>
                            <w:r w:rsidRPr="00132852">
                              <w:rPr>
                                <w:sz w:val="18"/>
                                <w:szCs w:val="18"/>
                              </w:rPr>
                              <w:t>High</w:t>
                            </w:r>
                          </w:p>
                        </w:tc>
                        <w:tc>
                          <w:tcPr>
                            <w:tcW w:w="1953" w:type="dxa"/>
                          </w:tcPr>
                          <w:p w14:paraId="69C1F9A4" w14:textId="77777777" w:rsidR="001C70F9" w:rsidRPr="00132852" w:rsidRDefault="001C70F9" w:rsidP="008D04C7">
                            <w:pPr>
                              <w:rPr>
                                <w:sz w:val="18"/>
                                <w:szCs w:val="18"/>
                              </w:rPr>
                            </w:pPr>
                            <w:r w:rsidRPr="00132852">
                              <w:rPr>
                                <w:sz w:val="18"/>
                                <w:szCs w:val="18"/>
                              </w:rPr>
                              <w:t>Health effects may lead to significant degradation of capabilities.</w:t>
                            </w:r>
                          </w:p>
                        </w:tc>
                        <w:tc>
                          <w:tcPr>
                            <w:tcW w:w="1800" w:type="dxa"/>
                          </w:tcPr>
                          <w:p w14:paraId="5192EA0F"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w:t>
                            </w:r>
                          </w:p>
                          <w:p w14:paraId="0C2A275B" w14:textId="77777777" w:rsidR="001C70F9" w:rsidRPr="00132852" w:rsidRDefault="001C70F9" w:rsidP="008D04C7">
                            <w:pPr>
                              <w:rPr>
                                <w:rFonts w:asciiTheme="minorHAnsi" w:hAnsiTheme="minorHAnsi" w:cstheme="minorHAnsi"/>
                                <w:sz w:val="18"/>
                                <w:szCs w:val="18"/>
                              </w:rPr>
                            </w:pPr>
                            <w:r w:rsidRPr="00132852">
                              <w:rPr>
                                <w:rFonts w:asciiTheme="minorHAnsi" w:hAnsiTheme="minorHAnsi" w:cstheme="minorHAnsi"/>
                                <w:sz w:val="18"/>
                                <w:szCs w:val="18"/>
                              </w:rPr>
                              <w:t>possible.</w:t>
                            </w:r>
                          </w:p>
                        </w:tc>
                      </w:tr>
                      <w:tr w:rsidR="001C70F9" w:rsidRPr="00881604" w14:paraId="1F9AB6D8" w14:textId="77777777" w:rsidTr="00EA55F8">
                        <w:tc>
                          <w:tcPr>
                            <w:tcW w:w="1017" w:type="dxa"/>
                          </w:tcPr>
                          <w:p w14:paraId="21883460" w14:textId="77777777" w:rsidR="001C70F9" w:rsidRPr="00132852" w:rsidRDefault="001C70F9" w:rsidP="008D04C7">
                            <w:pPr>
                              <w:rPr>
                                <w:sz w:val="18"/>
                                <w:szCs w:val="18"/>
                              </w:rPr>
                            </w:pPr>
                            <w:r w:rsidRPr="00132852">
                              <w:rPr>
                                <w:sz w:val="18"/>
                                <w:szCs w:val="18"/>
                              </w:rPr>
                              <w:t>Extremely High</w:t>
                            </w:r>
                          </w:p>
                        </w:tc>
                        <w:tc>
                          <w:tcPr>
                            <w:tcW w:w="1953" w:type="dxa"/>
                          </w:tcPr>
                          <w:p w14:paraId="014E04B2" w14:textId="77777777" w:rsidR="001C70F9" w:rsidRPr="00132852" w:rsidRDefault="001C70F9" w:rsidP="008D04C7">
                            <w:pPr>
                              <w:rPr>
                                <w:sz w:val="18"/>
                                <w:szCs w:val="18"/>
                              </w:rPr>
                            </w:pPr>
                            <w:r w:rsidRPr="00132852">
                              <w:rPr>
                                <w:sz w:val="18"/>
                                <w:szCs w:val="18"/>
                              </w:rPr>
                              <w:t>Health effects may lead to loss of ability to accomplish the mission.</w:t>
                            </w:r>
                          </w:p>
                        </w:tc>
                        <w:tc>
                          <w:tcPr>
                            <w:tcW w:w="1800" w:type="dxa"/>
                          </w:tcPr>
                          <w:p w14:paraId="2916CE86" w14:textId="77777777" w:rsidR="001C70F9" w:rsidRPr="00132852" w:rsidRDefault="001C70F9" w:rsidP="008D04C7">
                            <w:pPr>
                              <w:autoSpaceDE w:val="0"/>
                              <w:autoSpaceDN w:val="0"/>
                              <w:adjustRightInd w:val="0"/>
                              <w:rPr>
                                <w:rFonts w:asciiTheme="minorHAnsi" w:hAnsiTheme="minorHAnsi" w:cstheme="minorHAnsi"/>
                                <w:sz w:val="18"/>
                                <w:szCs w:val="18"/>
                              </w:rPr>
                            </w:pPr>
                            <w:r w:rsidRPr="00132852">
                              <w:rPr>
                                <w:rFonts w:asciiTheme="minorHAnsi" w:hAnsiTheme="minorHAnsi" w:cstheme="minorHAnsi"/>
                                <w:sz w:val="18"/>
                                <w:szCs w:val="18"/>
                              </w:rPr>
                              <w:t>Long-term health effects</w:t>
                            </w:r>
                          </w:p>
                          <w:p w14:paraId="6AFDA473" w14:textId="77777777" w:rsidR="001C70F9" w:rsidRPr="00132852" w:rsidRDefault="001C70F9" w:rsidP="008D04C7">
                            <w:pPr>
                              <w:rPr>
                                <w:rFonts w:asciiTheme="minorHAnsi" w:hAnsiTheme="minorHAnsi" w:cstheme="minorHAnsi"/>
                                <w:sz w:val="18"/>
                                <w:szCs w:val="18"/>
                              </w:rPr>
                            </w:pPr>
                            <w:r w:rsidRPr="00132852">
                              <w:rPr>
                                <w:rFonts w:asciiTheme="minorHAnsi" w:hAnsiTheme="minorHAnsi" w:cstheme="minorHAnsi"/>
                                <w:sz w:val="18"/>
                                <w:szCs w:val="18"/>
                              </w:rPr>
                              <w:t>possible.</w:t>
                            </w:r>
                          </w:p>
                        </w:tc>
                      </w:tr>
                    </w:tbl>
                    <w:p w14:paraId="0D653D49" w14:textId="77777777" w:rsidR="001C70F9" w:rsidRPr="0070784B" w:rsidRDefault="001C70F9" w:rsidP="001C70F9">
                      <w:pPr>
                        <w:jc w:val="center"/>
                        <w:rPr>
                          <w:sz w:val="16"/>
                          <w:szCs w:val="16"/>
                        </w:rPr>
                      </w:pPr>
                    </w:p>
                    <w:p w14:paraId="7FECD190" w14:textId="77777777" w:rsidR="001C70F9" w:rsidRPr="00132852" w:rsidRDefault="001C70F9" w:rsidP="001C70F9">
                      <w:pPr>
                        <w:jc w:val="center"/>
                        <w:rPr>
                          <w:sz w:val="20"/>
                          <w:szCs w:val="20"/>
                        </w:rPr>
                      </w:pPr>
                      <w:r w:rsidRPr="00132852">
                        <w:rPr>
                          <w:sz w:val="20"/>
                          <w:szCs w:val="20"/>
                        </w:rPr>
                        <w:t xml:space="preserve">Figure 2 </w:t>
                      </w:r>
                    </w:p>
                    <w:p w14:paraId="3B307C6C" w14:textId="77777777" w:rsidR="001C70F9" w:rsidRPr="00132852" w:rsidRDefault="001C70F9" w:rsidP="001C70F9">
                      <w:pPr>
                        <w:jc w:val="center"/>
                        <w:rPr>
                          <w:sz w:val="20"/>
                          <w:szCs w:val="20"/>
                        </w:rPr>
                      </w:pPr>
                      <w:r w:rsidRPr="00132852">
                        <w:rPr>
                          <w:sz w:val="20"/>
                          <w:szCs w:val="20"/>
                        </w:rPr>
                        <w:t>Hazard Severity Health Effects Definitions</w:t>
                      </w:r>
                    </w:p>
                    <w:p w14:paraId="4E21FF7E" w14:textId="77777777" w:rsidR="001C70F9" w:rsidRPr="0070784B" w:rsidRDefault="001C70F9" w:rsidP="001C70F9">
                      <w:pPr>
                        <w:jc w:val="center"/>
                        <w:rPr>
                          <w:sz w:val="16"/>
                          <w:szCs w:val="16"/>
                        </w:rPr>
                      </w:pPr>
                    </w:p>
                    <w:tbl>
                      <w:tblPr>
                        <w:tblStyle w:val="TableGrid"/>
                        <w:tblW w:w="4680" w:type="dxa"/>
                        <w:tblInd w:w="-5" w:type="dxa"/>
                        <w:tblLook w:val="04A0" w:firstRow="1" w:lastRow="0" w:firstColumn="1" w:lastColumn="0" w:noHBand="0" w:noVBand="1"/>
                      </w:tblPr>
                      <w:tblGrid>
                        <w:gridCol w:w="1227"/>
                        <w:gridCol w:w="1721"/>
                        <w:gridCol w:w="1732"/>
                      </w:tblGrid>
                      <w:tr w:rsidR="001C70F9" w:rsidRPr="006E1B0F" w14:paraId="1F8FDDF1" w14:textId="77777777" w:rsidTr="00B7523F">
                        <w:tc>
                          <w:tcPr>
                            <w:tcW w:w="1115" w:type="dxa"/>
                            <w:shd w:val="clear" w:color="auto" w:fill="D9D9D9" w:themeFill="background1" w:themeFillShade="D9"/>
                          </w:tcPr>
                          <w:p w14:paraId="095370D3" w14:textId="77777777" w:rsidR="001C70F9" w:rsidRPr="00132852" w:rsidRDefault="001C70F9" w:rsidP="0014763F">
                            <w:pPr>
                              <w:rPr>
                                <w:sz w:val="18"/>
                                <w:szCs w:val="18"/>
                              </w:rPr>
                            </w:pPr>
                            <w:r w:rsidRPr="00132852">
                              <w:rPr>
                                <w:sz w:val="18"/>
                                <w:szCs w:val="18"/>
                              </w:rPr>
                              <w:t>Hazard Severity</w:t>
                            </w:r>
                          </w:p>
                        </w:tc>
                        <w:tc>
                          <w:tcPr>
                            <w:tcW w:w="1765" w:type="dxa"/>
                            <w:shd w:val="clear" w:color="auto" w:fill="D9D9D9" w:themeFill="background1" w:themeFillShade="D9"/>
                          </w:tcPr>
                          <w:p w14:paraId="611BFF47" w14:textId="77777777" w:rsidR="001C70F9" w:rsidRPr="00132852" w:rsidRDefault="001C70F9" w:rsidP="0014763F">
                            <w:pPr>
                              <w:rPr>
                                <w:sz w:val="18"/>
                                <w:szCs w:val="18"/>
                              </w:rPr>
                            </w:pPr>
                            <w:r w:rsidRPr="00132852">
                              <w:rPr>
                                <w:sz w:val="18"/>
                                <w:szCs w:val="18"/>
                              </w:rPr>
                              <w:t>Short-term (Acute)</w:t>
                            </w:r>
                          </w:p>
                        </w:tc>
                        <w:tc>
                          <w:tcPr>
                            <w:tcW w:w="1800" w:type="dxa"/>
                            <w:shd w:val="clear" w:color="auto" w:fill="D9D9D9" w:themeFill="background1" w:themeFillShade="D9"/>
                          </w:tcPr>
                          <w:p w14:paraId="0A1D4294" w14:textId="77777777" w:rsidR="001C70F9" w:rsidRPr="00132852" w:rsidRDefault="001C70F9" w:rsidP="0014763F">
                            <w:pPr>
                              <w:rPr>
                                <w:sz w:val="18"/>
                                <w:szCs w:val="18"/>
                              </w:rPr>
                            </w:pPr>
                            <w:r w:rsidRPr="00132852">
                              <w:rPr>
                                <w:sz w:val="18"/>
                                <w:szCs w:val="18"/>
                              </w:rPr>
                              <w:t>Long-term (Chronic)</w:t>
                            </w:r>
                          </w:p>
                        </w:tc>
                      </w:tr>
                      <w:tr w:rsidR="001C70F9" w:rsidRPr="006E1B0F" w14:paraId="0B5D6779" w14:textId="77777777" w:rsidTr="00B05A47">
                        <w:tc>
                          <w:tcPr>
                            <w:tcW w:w="1115" w:type="dxa"/>
                          </w:tcPr>
                          <w:p w14:paraId="6D422689" w14:textId="77777777" w:rsidR="001C70F9" w:rsidRPr="00132852" w:rsidRDefault="001C70F9" w:rsidP="00E7046B">
                            <w:pPr>
                              <w:rPr>
                                <w:sz w:val="18"/>
                                <w:szCs w:val="18"/>
                              </w:rPr>
                            </w:pPr>
                            <w:r w:rsidRPr="00132852">
                              <w:rPr>
                                <w:sz w:val="18"/>
                                <w:szCs w:val="18"/>
                              </w:rPr>
                              <w:t>Negligible</w:t>
                            </w:r>
                          </w:p>
                        </w:tc>
                        <w:tc>
                          <w:tcPr>
                            <w:tcW w:w="1765" w:type="dxa"/>
                          </w:tcPr>
                          <w:p w14:paraId="1DCD5A9F" w14:textId="77777777" w:rsidR="001C70F9" w:rsidRPr="00132852" w:rsidRDefault="001C70F9" w:rsidP="00E7046B">
                            <w:pPr>
                              <w:rPr>
                                <w:sz w:val="18"/>
                                <w:szCs w:val="18"/>
                              </w:rPr>
                            </w:pPr>
                            <w:r w:rsidRPr="00132852">
                              <w:rPr>
                                <w:sz w:val="18"/>
                                <w:szCs w:val="18"/>
                              </w:rPr>
                              <w:t>Few exposed personnel (if any) are expected to have noticeable health effects during mission</w:t>
                            </w:r>
                          </w:p>
                        </w:tc>
                        <w:tc>
                          <w:tcPr>
                            <w:tcW w:w="1800" w:type="dxa"/>
                          </w:tcPr>
                          <w:p w14:paraId="6A1A3B2F" w14:textId="77777777" w:rsidR="001C70F9" w:rsidRPr="00132852" w:rsidRDefault="001C70F9" w:rsidP="00E7046B">
                            <w:pPr>
                              <w:rPr>
                                <w:sz w:val="18"/>
                                <w:szCs w:val="18"/>
                              </w:rPr>
                            </w:pPr>
                            <w:r w:rsidRPr="00132852">
                              <w:rPr>
                                <w:sz w:val="18"/>
                                <w:szCs w:val="18"/>
                              </w:rPr>
                              <w:t>Few exposed personnel (if any) are expected to develop delayed onset, irreversible effects</w:t>
                            </w:r>
                          </w:p>
                        </w:tc>
                      </w:tr>
                      <w:tr w:rsidR="001C70F9" w:rsidRPr="006E1B0F" w14:paraId="18848A0C" w14:textId="77777777" w:rsidTr="00B05A47">
                        <w:tc>
                          <w:tcPr>
                            <w:tcW w:w="1115" w:type="dxa"/>
                          </w:tcPr>
                          <w:p w14:paraId="195747EE" w14:textId="77777777" w:rsidR="001C70F9" w:rsidRPr="00132852" w:rsidRDefault="001C70F9" w:rsidP="00E7046B">
                            <w:pPr>
                              <w:rPr>
                                <w:sz w:val="18"/>
                                <w:szCs w:val="18"/>
                              </w:rPr>
                            </w:pPr>
                            <w:r w:rsidRPr="00132852">
                              <w:rPr>
                                <w:sz w:val="18"/>
                                <w:szCs w:val="18"/>
                              </w:rPr>
                              <w:t>Marginal</w:t>
                            </w:r>
                          </w:p>
                        </w:tc>
                        <w:tc>
                          <w:tcPr>
                            <w:tcW w:w="1765" w:type="dxa"/>
                          </w:tcPr>
                          <w:p w14:paraId="446F2710" w14:textId="77777777" w:rsidR="001C70F9" w:rsidRPr="00132852" w:rsidRDefault="001C70F9" w:rsidP="00E7046B">
                            <w:pPr>
                              <w:rPr>
                                <w:sz w:val="18"/>
                                <w:szCs w:val="18"/>
                              </w:rPr>
                            </w:pPr>
                            <w:r w:rsidRPr="00132852">
                              <w:rPr>
                                <w:sz w:val="18"/>
                                <w:szCs w:val="18"/>
                              </w:rPr>
                              <w:t>Many exposed persons are expected to have noticeable but not incapacitating health effects</w:t>
                            </w:r>
                          </w:p>
                        </w:tc>
                        <w:tc>
                          <w:tcPr>
                            <w:tcW w:w="1800" w:type="dxa"/>
                          </w:tcPr>
                          <w:p w14:paraId="773A7417" w14:textId="77777777" w:rsidR="001C70F9" w:rsidRPr="00132852" w:rsidRDefault="001C70F9" w:rsidP="00E7046B">
                            <w:pPr>
                              <w:rPr>
                                <w:sz w:val="18"/>
                                <w:szCs w:val="18"/>
                              </w:rPr>
                            </w:pPr>
                            <w:r w:rsidRPr="00132852">
                              <w:rPr>
                                <w:sz w:val="18"/>
                                <w:szCs w:val="18"/>
                              </w:rPr>
                              <w:t>Many exposed personnel are plausibly expected to develop delayed onset, irreversible effects</w:t>
                            </w:r>
                          </w:p>
                        </w:tc>
                      </w:tr>
                      <w:tr w:rsidR="001C70F9" w:rsidRPr="006E1B0F" w14:paraId="2B9A43D3" w14:textId="77777777" w:rsidTr="00B05A47">
                        <w:tc>
                          <w:tcPr>
                            <w:tcW w:w="1115" w:type="dxa"/>
                          </w:tcPr>
                          <w:p w14:paraId="2FB0B338" w14:textId="77777777" w:rsidR="001C70F9" w:rsidRPr="00132852" w:rsidRDefault="001C70F9" w:rsidP="00E7046B">
                            <w:pPr>
                              <w:rPr>
                                <w:sz w:val="18"/>
                                <w:szCs w:val="18"/>
                              </w:rPr>
                            </w:pPr>
                            <w:r w:rsidRPr="00132852">
                              <w:rPr>
                                <w:sz w:val="18"/>
                                <w:szCs w:val="18"/>
                              </w:rPr>
                              <w:t>Critical</w:t>
                            </w:r>
                          </w:p>
                        </w:tc>
                        <w:tc>
                          <w:tcPr>
                            <w:tcW w:w="1765" w:type="dxa"/>
                          </w:tcPr>
                          <w:p w14:paraId="28D8426A" w14:textId="77777777" w:rsidR="001C70F9" w:rsidRPr="00132852" w:rsidRDefault="001C70F9" w:rsidP="00E7046B">
                            <w:pPr>
                              <w:rPr>
                                <w:sz w:val="18"/>
                                <w:szCs w:val="18"/>
                              </w:rPr>
                            </w:pPr>
                            <w:r w:rsidRPr="00132852">
                              <w:rPr>
                                <w:sz w:val="18"/>
                                <w:szCs w:val="18"/>
                              </w:rPr>
                              <w:t>Indicates personnel are expected to have incapacitating health effects that require immediate medical treatment or support</w:t>
                            </w:r>
                          </w:p>
                        </w:tc>
                        <w:tc>
                          <w:tcPr>
                            <w:tcW w:w="1800" w:type="dxa"/>
                          </w:tcPr>
                          <w:p w14:paraId="0B789289" w14:textId="77777777" w:rsidR="001C70F9" w:rsidRPr="00132852" w:rsidRDefault="001C70F9" w:rsidP="00E7046B">
                            <w:pPr>
                              <w:rPr>
                                <w:sz w:val="18"/>
                                <w:szCs w:val="18"/>
                              </w:rPr>
                            </w:pPr>
                            <w:r w:rsidRPr="00132852">
                              <w:rPr>
                                <w:sz w:val="18"/>
                                <w:szCs w:val="18"/>
                              </w:rPr>
                              <w:t>The majority (or all) exposed personnel are plausibly expected to develop delayed onset, irreversible effects.</w:t>
                            </w:r>
                          </w:p>
                        </w:tc>
                      </w:tr>
                      <w:tr w:rsidR="001C70F9" w:rsidRPr="006E1B0F" w14:paraId="7C93341E" w14:textId="77777777" w:rsidTr="00B05A47">
                        <w:tc>
                          <w:tcPr>
                            <w:tcW w:w="1115" w:type="dxa"/>
                          </w:tcPr>
                          <w:p w14:paraId="5828B604" w14:textId="77777777" w:rsidR="001C70F9" w:rsidRPr="00AA5590" w:rsidRDefault="001C70F9" w:rsidP="00E7046B">
                            <w:pPr>
                              <w:rPr>
                                <w:sz w:val="18"/>
                                <w:szCs w:val="18"/>
                              </w:rPr>
                            </w:pPr>
                            <w:r w:rsidRPr="00AA5590">
                              <w:rPr>
                                <w:sz w:val="18"/>
                                <w:szCs w:val="18"/>
                              </w:rPr>
                              <w:t>Catastrophic</w:t>
                            </w:r>
                          </w:p>
                        </w:tc>
                        <w:tc>
                          <w:tcPr>
                            <w:tcW w:w="1765" w:type="dxa"/>
                          </w:tcPr>
                          <w:p w14:paraId="2CDB926B" w14:textId="77777777" w:rsidR="001C70F9" w:rsidRPr="00AA5590" w:rsidRDefault="001C70F9" w:rsidP="00E7046B">
                            <w:pPr>
                              <w:rPr>
                                <w:sz w:val="18"/>
                                <w:szCs w:val="18"/>
                              </w:rPr>
                            </w:pPr>
                            <w:r w:rsidRPr="00AA5590">
                              <w:rPr>
                                <w:sz w:val="18"/>
                                <w:szCs w:val="18"/>
                              </w:rPr>
                              <w:t>Severe incapacitating effects requiring immediate and significant medical attention</w:t>
                            </w:r>
                          </w:p>
                        </w:tc>
                        <w:tc>
                          <w:tcPr>
                            <w:tcW w:w="1800" w:type="dxa"/>
                          </w:tcPr>
                          <w:p w14:paraId="7E8CD9F9" w14:textId="77777777" w:rsidR="001C70F9" w:rsidRPr="00AA5590" w:rsidRDefault="001C70F9" w:rsidP="00E7046B">
                            <w:pPr>
                              <w:rPr>
                                <w:sz w:val="18"/>
                                <w:szCs w:val="18"/>
                              </w:rPr>
                            </w:pPr>
                            <w:r w:rsidRPr="00AA5590">
                              <w:rPr>
                                <w:sz w:val="18"/>
                                <w:szCs w:val="18"/>
                              </w:rPr>
                              <w:t>Those that survive the acute situation may be at increased risk for certain chronic effects</w:t>
                            </w:r>
                          </w:p>
                        </w:tc>
                      </w:tr>
                    </w:tbl>
                    <w:p w14:paraId="36435D1B" w14:textId="77777777" w:rsidR="001C70F9" w:rsidRDefault="001C70F9" w:rsidP="001C70F9"/>
                  </w:txbxContent>
                </v:textbox>
                <w10:wrap type="square" anchorx="margin"/>
              </v:shape>
            </w:pict>
          </mc:Fallback>
        </mc:AlternateContent>
      </w:r>
      <w:r w:rsidR="000F1EA7" w:rsidRPr="002553D3">
        <w:rPr>
          <w:rStyle w:val="POEMSEXSUMLead"/>
        </w:rPr>
        <w:t>SUMMARY</w:t>
      </w:r>
      <w:r w:rsidR="000F1EA7" w:rsidRPr="009A0A71">
        <w:rPr>
          <w:rStyle w:val="POEMSEXSUMLead"/>
          <w:u w:val="none"/>
        </w:rPr>
        <w:t>:</w:t>
      </w:r>
      <w:r w:rsidR="000F1EA7" w:rsidRPr="002553D3">
        <w:t xml:space="preserve"> Table 1 summarizes the short- and long-term exposure conditions that may pose a health risk and provides the associated medical implications. Table 2 provides population-based risk estimates for identified OEH conditions at </w:t>
      </w:r>
      <w:r w:rsidR="000F1EA7" w:rsidRPr="003C56D8">
        <w:rPr>
          <w:highlight w:val="green"/>
        </w:rPr>
        <w:t>Camp XXX</w:t>
      </w:r>
      <w:r w:rsidR="000F1EA7" w:rsidRPr="00572511">
        <w:rPr>
          <w:highlight w:val="yellow"/>
        </w:rPr>
        <w:t xml:space="preserve"> and vicinity.</w:t>
      </w:r>
      <w:r w:rsidR="000F1EA7" w:rsidRPr="002553D3">
        <w:t xml:space="preserve"> Following Table 2, detailed sections are provided to show the </w:t>
      </w:r>
      <w:r w:rsidR="000F1EA7">
        <w:t xml:space="preserve">basis </w:t>
      </w:r>
      <w:r w:rsidR="000F1EA7" w:rsidRPr="002553D3">
        <w:t xml:space="preserve">for these risk estimates, including methodology and consideration of any controls established to reduce health risks. In some cases (e.g., ambient air), specific controls are </w:t>
      </w:r>
      <w:proofErr w:type="gramStart"/>
      <w:r w:rsidR="000F1EA7" w:rsidRPr="002553D3">
        <w:t>noted, but</w:t>
      </w:r>
      <w:proofErr w:type="gramEnd"/>
      <w:r w:rsidR="000F1EA7" w:rsidRPr="002553D3">
        <w:t xml:space="preserve"> may not be routinely available/feasible.</w:t>
      </w:r>
      <w:r w:rsidR="000F1EA7" w:rsidRPr="002553D3">
        <w:rPr>
          <w:color w:val="FF0000"/>
        </w:rPr>
        <w:t xml:space="preserve"> </w:t>
      </w:r>
      <w:r w:rsidR="000F1EA7" w:rsidRPr="00EB334A">
        <w:rPr>
          <w:highlight w:val="yellow"/>
        </w:rPr>
        <w:t xml:space="preserve">Table </w:t>
      </w:r>
      <w:r w:rsidR="008604F3">
        <w:rPr>
          <w:highlight w:val="yellow"/>
        </w:rPr>
        <w:t>4</w:t>
      </w:r>
      <w:r w:rsidR="000F1EA7" w:rsidRPr="00EB334A">
        <w:rPr>
          <w:highlight w:val="yellow"/>
        </w:rPr>
        <w:t xml:space="preserve"> provides the Disease Threat Assessment taken from the OEHSA(s) for </w:t>
      </w:r>
      <w:r w:rsidR="000F1EA7" w:rsidRPr="00572511">
        <w:rPr>
          <w:highlight w:val="green"/>
        </w:rPr>
        <w:t xml:space="preserve">Camp XXX </w:t>
      </w:r>
      <w:r w:rsidR="000F1EA7" w:rsidRPr="00EB334A">
        <w:rPr>
          <w:highlight w:val="yellow"/>
        </w:rPr>
        <w:t>and vicinity (Reference XX)</w:t>
      </w:r>
      <w:r w:rsidR="000F1EA7" w:rsidRPr="002553D3">
        <w:rPr>
          <w:color w:val="000000"/>
        </w:rPr>
        <w:t>.</w:t>
      </w:r>
      <w:r w:rsidR="000F1EA7" w:rsidRPr="001B20A8">
        <w:rPr>
          <w:color w:val="000000"/>
        </w:rPr>
        <w:t xml:space="preserve"> </w:t>
      </w:r>
      <w:r w:rsidR="00EB334A" w:rsidRPr="00EB334A">
        <w:rPr>
          <w:color w:val="0070C0"/>
        </w:rPr>
        <w:t xml:space="preserve">[delete if no Table </w:t>
      </w:r>
      <w:r w:rsidR="008604F3">
        <w:rPr>
          <w:color w:val="0070C0"/>
        </w:rPr>
        <w:t>4</w:t>
      </w:r>
      <w:r w:rsidR="00EB334A" w:rsidRPr="00EB334A">
        <w:rPr>
          <w:color w:val="0070C0"/>
        </w:rPr>
        <w:t>.]</w:t>
      </w:r>
    </w:p>
    <w:p w14:paraId="1581A86A" w14:textId="77777777" w:rsidR="000F1EA7" w:rsidRDefault="000F1EA7" w:rsidP="000F1EA7">
      <w:pPr>
        <w:rPr>
          <w:color w:val="000000"/>
        </w:rPr>
      </w:pPr>
    </w:p>
    <w:p w14:paraId="2A26A5B4" w14:textId="0888BBAC" w:rsidR="000F1EA7" w:rsidRDefault="000F1EA7" w:rsidP="33C63274">
      <w:pPr>
        <w:rPr>
          <w:rFonts w:eastAsia="Arial" w:cs="Arial"/>
        </w:rPr>
      </w:pPr>
      <w:r w:rsidRPr="33C63274">
        <w:rPr>
          <w:color w:val="000000" w:themeColor="text1"/>
        </w:rPr>
        <w:t>In Tables 1 and 2 and sections 2–10 of the POEMS, health risks are described in relation to the effects on</w:t>
      </w:r>
      <w:r w:rsidR="00244649">
        <w:rPr>
          <w:color w:val="000000" w:themeColor="text1"/>
        </w:rPr>
        <w:t>/during</w:t>
      </w:r>
      <w:r w:rsidRPr="33C63274">
        <w:rPr>
          <w:color w:val="000000" w:themeColor="text1"/>
        </w:rPr>
        <w:t xml:space="preserve"> the mission (acute risk) and the long-term health of Service members (chronic risk). </w:t>
      </w:r>
      <w:r w:rsidR="006B26BD" w:rsidRPr="33C63274">
        <w:rPr>
          <w:color w:val="000000" w:themeColor="text1"/>
        </w:rPr>
        <w:t>Figure 1</w:t>
      </w:r>
      <w:r w:rsidRPr="33C63274">
        <w:rPr>
          <w:color w:val="000000" w:themeColor="text1"/>
        </w:rPr>
        <w:t xml:space="preserve"> provides the definitions of these types of risks </w:t>
      </w:r>
      <w:r w:rsidR="004B3B47" w:rsidRPr="003B6F1B">
        <w:rPr>
          <w:color w:val="000000" w:themeColor="text1"/>
        </w:rPr>
        <w:t xml:space="preserve">as outlined in Department of the Navy Tactical Reference Publication (NTRP) 4-02.9M, </w:t>
      </w:r>
      <w:r w:rsidR="004B3B47" w:rsidRPr="003B6F1B">
        <w:rPr>
          <w:i/>
          <w:iCs/>
          <w:color w:val="000000" w:themeColor="text1"/>
        </w:rPr>
        <w:t>Occupational and Environmental Health Site Surveillance at Deployment Locations</w:t>
      </w:r>
      <w:r w:rsidR="004B3B47" w:rsidRPr="003B6F1B">
        <w:rPr>
          <w:color w:val="000000" w:themeColor="text1"/>
        </w:rPr>
        <w:t xml:space="preserve"> </w:t>
      </w:r>
      <w:r w:rsidR="004B3B47" w:rsidRPr="00716A08">
        <w:rPr>
          <w:color w:val="000000" w:themeColor="text1"/>
        </w:rPr>
        <w:t xml:space="preserve">(Reference </w:t>
      </w:r>
      <w:r w:rsidR="00AF35A3" w:rsidRPr="00716A08">
        <w:rPr>
          <w:color w:val="000000" w:themeColor="text1"/>
          <w:highlight w:val="yellow"/>
        </w:rPr>
        <w:t>XX</w:t>
      </w:r>
      <w:r w:rsidR="004B3B47" w:rsidRPr="00716A08">
        <w:rPr>
          <w:color w:val="000000" w:themeColor="text1"/>
        </w:rPr>
        <w:t>).</w:t>
      </w:r>
      <w:r w:rsidR="61F626FE" w:rsidRPr="33C63274">
        <w:rPr>
          <w:color w:val="000000" w:themeColor="text1"/>
        </w:rPr>
        <w:t xml:space="preserve"> </w:t>
      </w:r>
      <w:r w:rsidR="61F626FE" w:rsidRPr="33C63274">
        <w:rPr>
          <w:rFonts w:eastAsia="Arial" w:cs="Arial"/>
          <w:color w:val="000000" w:themeColor="text1"/>
        </w:rPr>
        <w:t xml:space="preserve">Additionally, </w:t>
      </w:r>
      <w:r w:rsidR="00A91741">
        <w:rPr>
          <w:rFonts w:eastAsia="Arial" w:cs="Arial"/>
          <w:color w:val="000000" w:themeColor="text1"/>
        </w:rPr>
        <w:t>as discussed in this</w:t>
      </w:r>
      <w:r w:rsidR="61F626FE" w:rsidRPr="33C63274">
        <w:rPr>
          <w:rFonts w:eastAsia="Arial" w:cs="Arial"/>
          <w:color w:val="000000" w:themeColor="text1"/>
        </w:rPr>
        <w:t xml:space="preserve"> POEMS, the U</w:t>
      </w:r>
      <w:r w:rsidR="00A91741">
        <w:rPr>
          <w:rFonts w:eastAsia="Arial" w:cs="Arial"/>
          <w:color w:val="000000" w:themeColor="text1"/>
        </w:rPr>
        <w:t>.</w:t>
      </w:r>
      <w:r w:rsidR="61F626FE" w:rsidRPr="33C63274">
        <w:rPr>
          <w:rFonts w:eastAsia="Arial" w:cs="Arial"/>
          <w:color w:val="000000" w:themeColor="text1"/>
        </w:rPr>
        <w:t>S</w:t>
      </w:r>
      <w:r w:rsidR="00A91741">
        <w:rPr>
          <w:rFonts w:eastAsia="Arial" w:cs="Arial"/>
          <w:color w:val="000000" w:themeColor="text1"/>
        </w:rPr>
        <w:t>. Environmental Protection Age</w:t>
      </w:r>
      <w:r w:rsidR="00571262">
        <w:rPr>
          <w:rFonts w:eastAsia="Arial" w:cs="Arial"/>
          <w:color w:val="000000" w:themeColor="text1"/>
        </w:rPr>
        <w:t>n</w:t>
      </w:r>
      <w:r w:rsidR="00A91741">
        <w:rPr>
          <w:rFonts w:eastAsia="Arial" w:cs="Arial"/>
          <w:color w:val="000000" w:themeColor="text1"/>
        </w:rPr>
        <w:t>cy’s (</w:t>
      </w:r>
      <w:r w:rsidR="61F626FE" w:rsidRPr="33C63274">
        <w:rPr>
          <w:rFonts w:eastAsia="Arial" w:cs="Arial"/>
          <w:color w:val="000000" w:themeColor="text1"/>
        </w:rPr>
        <w:t>EPA’s</w:t>
      </w:r>
      <w:r w:rsidR="00A91741">
        <w:rPr>
          <w:rFonts w:eastAsia="Arial" w:cs="Arial"/>
          <w:color w:val="000000" w:themeColor="text1"/>
        </w:rPr>
        <w:t>)</w:t>
      </w:r>
      <w:r w:rsidR="61F626FE" w:rsidRPr="33C63274">
        <w:rPr>
          <w:rFonts w:eastAsia="Arial" w:cs="Arial"/>
          <w:color w:val="000000" w:themeColor="text1"/>
        </w:rPr>
        <w:t xml:space="preserve"> ambient Air Quality Index (AQI, </w:t>
      </w:r>
      <w:r w:rsidR="61F626FE" w:rsidRPr="00716A08">
        <w:rPr>
          <w:rFonts w:eastAsia="Arial" w:cs="Arial"/>
          <w:color w:val="000000" w:themeColor="text1"/>
        </w:rPr>
        <w:t>Reference</w:t>
      </w:r>
      <w:r w:rsidR="61F626FE" w:rsidRPr="00716A08">
        <w:rPr>
          <w:color w:val="000000" w:themeColor="text1"/>
        </w:rPr>
        <w:t xml:space="preserve"> </w:t>
      </w:r>
      <w:r w:rsidR="61F626FE" w:rsidRPr="33C63274">
        <w:rPr>
          <w:color w:val="000000" w:themeColor="text1"/>
          <w:highlight w:val="yellow"/>
        </w:rPr>
        <w:t>XX</w:t>
      </w:r>
      <w:r w:rsidR="61F626FE" w:rsidRPr="33C63274">
        <w:rPr>
          <w:rFonts w:eastAsia="Arial" w:cs="Arial"/>
          <w:color w:val="000000" w:themeColor="text1"/>
        </w:rPr>
        <w:t xml:space="preserve">) is included to further elucidate some hazards found in air. </w:t>
      </w:r>
      <w:r w:rsidR="002A7179">
        <w:rPr>
          <w:rFonts w:eastAsia="Arial" w:cs="Arial"/>
          <w:color w:val="000000" w:themeColor="text1"/>
        </w:rPr>
        <w:t>Section 2 describes t</w:t>
      </w:r>
      <w:r w:rsidR="61F626FE" w:rsidRPr="33C63274">
        <w:rPr>
          <w:rFonts w:eastAsia="Arial" w:cs="Arial"/>
          <w:color w:val="000000" w:themeColor="text1"/>
        </w:rPr>
        <w:t>he relationship between the military and EPA approaches to understanding these threats.</w:t>
      </w:r>
    </w:p>
    <w:p w14:paraId="27AFB0E6" w14:textId="77777777" w:rsidR="000F1EA7" w:rsidRDefault="000F1EA7" w:rsidP="6BE0D143">
      <w:pPr>
        <w:rPr>
          <w:color w:val="000000"/>
          <w:highlight w:val="cyan"/>
        </w:rPr>
      </w:pPr>
    </w:p>
    <w:p w14:paraId="1A223E79" w14:textId="7648E5B8" w:rsidR="000F1EA7" w:rsidRDefault="000F1EA7" w:rsidP="33C63274">
      <w:r w:rsidRPr="33C63274">
        <w:rPr>
          <w:color w:val="000000" w:themeColor="text1"/>
        </w:rPr>
        <w:t xml:space="preserve">For chemicals, </w:t>
      </w:r>
      <w:r w:rsidR="00FE0846" w:rsidRPr="003B6F1B">
        <w:t xml:space="preserve">U.S. Army Public Health Command (USAPHC) Technical Guide 230 (TG 230), </w:t>
      </w:r>
      <w:r w:rsidR="00FE0846" w:rsidRPr="003B6F1B">
        <w:rPr>
          <w:i/>
          <w:iCs/>
        </w:rPr>
        <w:t xml:space="preserve">Environmental Health Risk Assessment and Chemical Exposure Guidelines for Deployed Military Personnel </w:t>
      </w:r>
      <w:r w:rsidR="00FE0846" w:rsidRPr="00716A08">
        <w:rPr>
          <w:color w:val="000000" w:themeColor="text1"/>
        </w:rPr>
        <w:t xml:space="preserve">(Reference </w:t>
      </w:r>
      <w:r w:rsidR="00FE0846" w:rsidRPr="001035AC">
        <w:rPr>
          <w:color w:val="000000" w:themeColor="text1"/>
          <w:highlight w:val="yellow"/>
        </w:rPr>
        <w:t>XX</w:t>
      </w:r>
      <w:r w:rsidR="00FE0846" w:rsidRPr="00716A08">
        <w:rPr>
          <w:color w:val="000000" w:themeColor="text1"/>
        </w:rPr>
        <w:t>)</w:t>
      </w:r>
      <w:r w:rsidR="00FE0846" w:rsidRPr="003B6F1B">
        <w:rPr>
          <w:color w:val="000000" w:themeColor="text1"/>
        </w:rPr>
        <w:t xml:space="preserve"> and</w:t>
      </w:r>
      <w:r w:rsidR="00FE0846" w:rsidRPr="33C63274">
        <w:rPr>
          <w:color w:val="000000" w:themeColor="text1"/>
        </w:rPr>
        <w:t xml:space="preserve"> </w:t>
      </w:r>
      <w:r w:rsidR="002A7179" w:rsidRPr="33C63274">
        <w:rPr>
          <w:color w:val="000000" w:themeColor="text1"/>
        </w:rPr>
        <w:t>military exposure guidelines</w:t>
      </w:r>
      <w:r w:rsidRPr="33C63274">
        <w:rPr>
          <w:color w:val="000000" w:themeColor="text1"/>
        </w:rPr>
        <w:t xml:space="preserve"> (MEGs) are used </w:t>
      </w:r>
      <w:r>
        <w:t xml:space="preserve">for estimating health-related operational risks associated with chemical exposures during deployment. A MEG is a chemical concentration which represents an estimate of the level above which certain types of health effects may begin to occur within a deployed military population after continual exposure </w:t>
      </w:r>
      <w:r w:rsidR="00CA16BD">
        <w:t>for</w:t>
      </w:r>
      <w:r>
        <w:t xml:space="preserve"> a specified duration. </w:t>
      </w:r>
    </w:p>
    <w:p w14:paraId="2EC37669" w14:textId="77777777" w:rsidR="000F1EA7" w:rsidRDefault="000F1EA7" w:rsidP="33C63274"/>
    <w:p w14:paraId="1BA25471" w14:textId="26B73720" w:rsidR="000F1EA7" w:rsidRDefault="000F1EA7" w:rsidP="33C63274">
      <w:r>
        <w:lastRenderedPageBreak/>
        <w:t xml:space="preserve">There are </w:t>
      </w:r>
      <w:r w:rsidR="00CA16BD">
        <w:t xml:space="preserve">four </w:t>
      </w:r>
      <w:r>
        <w:t xml:space="preserve">hazard severity categories for MEGs which indicate the relative magnitude of potential adverse health effects within the population when their exposure matches the assumed conditions: negligible, marginal, critical, and catastrophic. </w:t>
      </w:r>
      <w:r w:rsidR="00CA16BD">
        <w:t>Figure 2 shows t</w:t>
      </w:r>
      <w:r>
        <w:t xml:space="preserve">he hazard severity </w:t>
      </w:r>
      <w:r w:rsidR="002B61A7">
        <w:t xml:space="preserve">health effects </w:t>
      </w:r>
      <w:r>
        <w:t xml:space="preserve">definitions from TG 230. Please refer to TG 230 </w:t>
      </w:r>
      <w:r w:rsidRPr="00716A08">
        <w:t xml:space="preserve">(Reference </w:t>
      </w:r>
      <w:r w:rsidRPr="33C63274">
        <w:rPr>
          <w:highlight w:val="yellow"/>
        </w:rPr>
        <w:t>XX</w:t>
      </w:r>
      <w:r w:rsidRPr="00716A08">
        <w:t>)</w:t>
      </w:r>
      <w:r>
        <w:t xml:space="preserve"> for complete details regarding the MEGs and the risk assessment methodology.</w:t>
      </w:r>
      <w:bookmarkEnd w:id="5"/>
    </w:p>
    <w:p w14:paraId="6ABB5EA4" w14:textId="4B20D988" w:rsidR="005A66F1" w:rsidRDefault="00EB334A" w:rsidP="00EB334A">
      <w:pPr>
        <w:pStyle w:val="pf0"/>
        <w:rPr>
          <w:rStyle w:val="cf01"/>
          <w:rFonts w:asciiTheme="minorHAnsi" w:hAnsiTheme="minorHAnsi" w:cstheme="minorHAnsi"/>
          <w:b/>
          <w:bCs/>
          <w:color w:val="0070C0"/>
          <w:sz w:val="24"/>
          <w:szCs w:val="24"/>
        </w:rPr>
      </w:pPr>
      <w:r w:rsidRPr="00EB334A">
        <w:rPr>
          <w:rFonts w:asciiTheme="minorHAnsi" w:hAnsiTheme="minorHAnsi" w:cstheme="minorHAnsi"/>
          <w:b/>
          <w:bCs/>
          <w:color w:val="0070C0"/>
        </w:rPr>
        <w:t>[</w:t>
      </w:r>
      <w:r w:rsidRPr="00EB334A">
        <w:rPr>
          <w:rStyle w:val="cf01"/>
          <w:rFonts w:asciiTheme="minorHAnsi" w:hAnsiTheme="minorHAnsi" w:cstheme="minorHAnsi"/>
          <w:b/>
          <w:bCs/>
          <w:color w:val="0070C0"/>
          <w:sz w:val="24"/>
          <w:szCs w:val="24"/>
        </w:rPr>
        <w:t>Read over the information in the table and check for things like single space after period, consistent PM subscripts, etc.]</w:t>
      </w:r>
    </w:p>
    <w:p w14:paraId="4F46BBA6" w14:textId="6B308562" w:rsidR="008D04AD" w:rsidRPr="008D04AD" w:rsidRDefault="008D04AD" w:rsidP="008D04AD">
      <w:pPr>
        <w:pStyle w:val="pf0"/>
        <w:spacing w:before="0" w:beforeAutospacing="0" w:after="0" w:afterAutospacing="0"/>
        <w:rPr>
          <w:rFonts w:asciiTheme="minorHAnsi" w:hAnsiTheme="minorHAnsi" w:cstheme="minorHAnsi"/>
          <w:color w:val="000000" w:themeColor="text1"/>
        </w:rPr>
      </w:pPr>
      <w:r w:rsidRPr="008D04AD">
        <w:rPr>
          <w:rFonts w:asciiTheme="minorHAnsi" w:hAnsiTheme="minorHAnsi" w:cstheme="minorHAnsi"/>
          <w:color w:val="000000" w:themeColor="text1"/>
        </w:rPr>
        <w:t>Table 1</w:t>
      </w:r>
      <w:r>
        <w:rPr>
          <w:rFonts w:asciiTheme="minorHAnsi" w:hAnsiTheme="minorHAnsi" w:cstheme="minorHAnsi"/>
          <w:color w:val="000000" w:themeColor="text1"/>
        </w:rPr>
        <w:t>.</w:t>
      </w:r>
      <w:r w:rsidRPr="008D04AD">
        <w:rPr>
          <w:rFonts w:asciiTheme="minorHAnsi" w:hAnsiTheme="minorHAnsi" w:cstheme="minorHAnsi"/>
          <w:color w:val="000000" w:themeColor="text1"/>
        </w:rPr>
        <w:t xml:space="preserve"> Summary of Occupational and Environmental Health Hazards and Their Medical Implications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9"/>
      </w:tblGrid>
      <w:tr w:rsidR="0063252B" w:rsidRPr="007747C0" w14:paraId="369E7E16" w14:textId="77777777" w:rsidTr="006A7750">
        <w:trPr>
          <w:tblHeader/>
        </w:trPr>
        <w:tc>
          <w:tcPr>
            <w:tcW w:w="10079" w:type="dxa"/>
            <w:shd w:val="clear" w:color="auto" w:fill="BFBFBF" w:themeFill="background1" w:themeFillShade="BF"/>
            <w:vAlign w:val="center"/>
          </w:tcPr>
          <w:p w14:paraId="53607612" w14:textId="51310EB3" w:rsidR="0065068C" w:rsidRPr="008B6E74" w:rsidRDefault="00C17253" w:rsidP="00FF29E5">
            <w:pPr>
              <w:rPr>
                <w:b/>
                <w:bCs/>
                <w:color w:val="002060"/>
                <w:sz w:val="20"/>
                <w:szCs w:val="20"/>
              </w:rPr>
            </w:pPr>
            <w:r w:rsidRPr="008B6E74">
              <w:rPr>
                <w:b/>
                <w:bCs/>
                <w:sz w:val="20"/>
                <w:szCs w:val="20"/>
              </w:rPr>
              <w:br w:type="page"/>
            </w:r>
            <w:r w:rsidR="00773C7D" w:rsidRPr="008B6E74">
              <w:rPr>
                <w:b/>
                <w:bCs/>
                <w:sz w:val="20"/>
                <w:szCs w:val="20"/>
                <w:highlight w:val="yellow"/>
              </w:rPr>
              <w:br w:type="page"/>
            </w:r>
            <w:r w:rsidR="008D04AD" w:rsidRPr="008B6E74">
              <w:rPr>
                <w:b/>
                <w:bCs/>
                <w:sz w:val="20"/>
                <w:szCs w:val="20"/>
              </w:rPr>
              <w:t>Summary of OEH Hazards and Their Medical Implications</w:t>
            </w:r>
          </w:p>
        </w:tc>
      </w:tr>
      <w:tr w:rsidR="00ED26D1" w:rsidRPr="007747C0" w14:paraId="0E5D7D24" w14:textId="77777777" w:rsidTr="5F94E770">
        <w:tc>
          <w:tcPr>
            <w:tcW w:w="10079" w:type="dxa"/>
          </w:tcPr>
          <w:p w14:paraId="615D3AF5" w14:textId="709A6FD3" w:rsidR="00A05AEC" w:rsidRPr="008B6E74" w:rsidRDefault="00ED26D1" w:rsidP="004E455E">
            <w:pPr>
              <w:pStyle w:val="BodyText"/>
              <w:spacing w:after="0"/>
              <w:rPr>
                <w:i/>
                <w:iCs/>
                <w:sz w:val="20"/>
                <w:szCs w:val="20"/>
              </w:rPr>
            </w:pPr>
            <w:r w:rsidRPr="008B6E74">
              <w:rPr>
                <w:i/>
                <w:iCs/>
                <w:sz w:val="20"/>
                <w:szCs w:val="20"/>
              </w:rPr>
              <w:t xml:space="preserve">The following hazards may </w:t>
            </w:r>
            <w:r w:rsidR="00CA5BBD" w:rsidRPr="008B6E74">
              <w:rPr>
                <w:i/>
                <w:iCs/>
                <w:sz w:val="20"/>
                <w:szCs w:val="20"/>
              </w:rPr>
              <w:t>potentially cause</w:t>
            </w:r>
            <w:r w:rsidRPr="008B6E74">
              <w:rPr>
                <w:i/>
                <w:iCs/>
                <w:sz w:val="20"/>
                <w:szCs w:val="20"/>
              </w:rPr>
              <w:t xml:space="preserve"> </w:t>
            </w:r>
            <w:r w:rsidR="00AF4F07" w:rsidRPr="008B6E74">
              <w:rPr>
                <w:i/>
                <w:iCs/>
                <w:sz w:val="20"/>
                <w:szCs w:val="20"/>
                <w:highlight w:val="yellow"/>
              </w:rPr>
              <w:t>ACUTE</w:t>
            </w:r>
            <w:r w:rsidRPr="008B6E74">
              <w:rPr>
                <w:i/>
                <w:iCs/>
                <w:sz w:val="20"/>
                <w:szCs w:val="20"/>
              </w:rPr>
              <w:t xml:space="preserve"> health effects in some personnel during deployment at </w:t>
            </w:r>
            <w:r w:rsidR="001A55D0" w:rsidRPr="008B6E74">
              <w:rPr>
                <w:i/>
                <w:iCs/>
                <w:sz w:val="20"/>
                <w:szCs w:val="20"/>
                <w:highlight w:val="green"/>
              </w:rPr>
              <w:t>Camp XXX</w:t>
            </w:r>
            <w:r w:rsidR="00257BB0" w:rsidRPr="008B6E74">
              <w:rPr>
                <w:i/>
                <w:iCs/>
                <w:sz w:val="20"/>
                <w:szCs w:val="20"/>
                <w:highlight w:val="green"/>
              </w:rPr>
              <w:t xml:space="preserve"> </w:t>
            </w:r>
            <w:r w:rsidR="00257BB0" w:rsidRPr="008B6E74">
              <w:rPr>
                <w:i/>
                <w:iCs/>
                <w:sz w:val="20"/>
                <w:szCs w:val="20"/>
                <w:highlight w:val="yellow"/>
              </w:rPr>
              <w:t>and vicinity</w:t>
            </w:r>
            <w:r w:rsidR="001A55D0" w:rsidRPr="008B6E74">
              <w:rPr>
                <w:i/>
                <w:iCs/>
                <w:sz w:val="20"/>
                <w:szCs w:val="20"/>
                <w:highlight w:val="yellow"/>
              </w:rPr>
              <w:t>, Country</w:t>
            </w:r>
            <w:r w:rsidR="00FD3F3E" w:rsidRPr="008B6E74">
              <w:rPr>
                <w:i/>
                <w:iCs/>
                <w:sz w:val="20"/>
                <w:szCs w:val="20"/>
              </w:rPr>
              <w:t>:</w:t>
            </w:r>
          </w:p>
          <w:p w14:paraId="4DBD48FA" w14:textId="77777777" w:rsidR="004E455E" w:rsidRPr="008B6E74" w:rsidRDefault="004E455E" w:rsidP="004E455E">
            <w:pPr>
              <w:pStyle w:val="BodyText"/>
              <w:spacing w:after="0"/>
              <w:rPr>
                <w:sz w:val="20"/>
                <w:szCs w:val="20"/>
              </w:rPr>
            </w:pPr>
          </w:p>
          <w:p w14:paraId="0950DD38" w14:textId="57DF5170" w:rsidR="00587348" w:rsidRPr="008B6E74" w:rsidRDefault="00CA713B" w:rsidP="006A7750">
            <w:pPr>
              <w:pStyle w:val="BodyText"/>
              <w:numPr>
                <w:ilvl w:val="0"/>
                <w:numId w:val="8"/>
              </w:numPr>
              <w:rPr>
                <w:sz w:val="20"/>
                <w:szCs w:val="20"/>
              </w:rPr>
            </w:pPr>
            <w:r w:rsidRPr="008B6E74">
              <w:rPr>
                <w:sz w:val="20"/>
                <w:szCs w:val="20"/>
              </w:rPr>
              <w:t>Air pollution, air quality, airborne environmental exposures</w:t>
            </w:r>
            <w:r w:rsidR="00244649" w:rsidRPr="008B6E74">
              <w:rPr>
                <w:sz w:val="20"/>
                <w:szCs w:val="20"/>
              </w:rPr>
              <w:t>:</w:t>
            </w:r>
            <w:r w:rsidR="004E455E" w:rsidRPr="008B6E74">
              <w:rPr>
                <w:sz w:val="20"/>
                <w:szCs w:val="20"/>
              </w:rPr>
              <w:t xml:space="preserve"> </w:t>
            </w:r>
          </w:p>
          <w:p w14:paraId="4F87E15E" w14:textId="77777777" w:rsidR="00587348" w:rsidRPr="008B6E74" w:rsidRDefault="004E455E" w:rsidP="00031E2F">
            <w:pPr>
              <w:pStyle w:val="BodyText"/>
              <w:ind w:left="720"/>
              <w:rPr>
                <w:sz w:val="20"/>
                <w:szCs w:val="20"/>
              </w:rPr>
            </w:pPr>
            <w:r w:rsidRPr="008B6E74">
              <w:rPr>
                <w:sz w:val="20"/>
                <w:szCs w:val="20"/>
                <w:highlight w:val="yellow"/>
              </w:rPr>
              <w:t xml:space="preserve">(a) Particulate matter: </w:t>
            </w:r>
          </w:p>
          <w:p w14:paraId="3F20B9D6" w14:textId="77777777" w:rsidR="00587348" w:rsidRPr="008B6E74" w:rsidRDefault="004E455E" w:rsidP="00031E2F">
            <w:pPr>
              <w:pStyle w:val="BodyText"/>
              <w:ind w:left="720"/>
              <w:rPr>
                <w:sz w:val="20"/>
                <w:szCs w:val="20"/>
              </w:rPr>
            </w:pPr>
            <w:r w:rsidRPr="008B6E74">
              <w:rPr>
                <w:sz w:val="20"/>
                <w:szCs w:val="20"/>
                <w:highlight w:val="yellow"/>
              </w:rPr>
              <w:t xml:space="preserve">(b) Metals: </w:t>
            </w:r>
          </w:p>
          <w:p w14:paraId="09B190BD" w14:textId="77777777" w:rsidR="00587348" w:rsidRPr="008B6E74" w:rsidRDefault="004E455E" w:rsidP="00031E2F">
            <w:pPr>
              <w:pStyle w:val="BodyText"/>
              <w:ind w:left="720"/>
              <w:rPr>
                <w:sz w:val="20"/>
                <w:szCs w:val="20"/>
              </w:rPr>
            </w:pPr>
            <w:r w:rsidRPr="008B6E74">
              <w:rPr>
                <w:sz w:val="20"/>
                <w:szCs w:val="20"/>
                <w:highlight w:val="yellow"/>
              </w:rPr>
              <w:t>(c) Ozone</w:t>
            </w:r>
            <w:r w:rsidR="006A7750" w:rsidRPr="008B6E74">
              <w:rPr>
                <w:sz w:val="20"/>
                <w:szCs w:val="20"/>
                <w:highlight w:val="yellow"/>
              </w:rPr>
              <w:t>:</w:t>
            </w:r>
            <w:r w:rsidRPr="008B6E74">
              <w:rPr>
                <w:sz w:val="20"/>
                <w:szCs w:val="20"/>
                <w:highlight w:val="yellow"/>
              </w:rPr>
              <w:t xml:space="preserve"> </w:t>
            </w:r>
          </w:p>
          <w:p w14:paraId="3FD1312E" w14:textId="77777777" w:rsidR="00587348" w:rsidRPr="008B6E74" w:rsidRDefault="004E455E" w:rsidP="00031E2F">
            <w:pPr>
              <w:pStyle w:val="BodyText"/>
              <w:ind w:left="720"/>
              <w:rPr>
                <w:sz w:val="20"/>
                <w:szCs w:val="20"/>
              </w:rPr>
            </w:pPr>
            <w:r w:rsidRPr="008B6E74">
              <w:rPr>
                <w:sz w:val="20"/>
                <w:szCs w:val="20"/>
                <w:highlight w:val="yellow"/>
              </w:rPr>
              <w:t>(d) Nitrogen Dioxide</w:t>
            </w:r>
            <w:r w:rsidR="006A7750" w:rsidRPr="008B6E74">
              <w:rPr>
                <w:sz w:val="20"/>
                <w:szCs w:val="20"/>
                <w:highlight w:val="yellow"/>
              </w:rPr>
              <w:t>:</w:t>
            </w:r>
            <w:r w:rsidRPr="008B6E74">
              <w:rPr>
                <w:sz w:val="20"/>
                <w:szCs w:val="20"/>
                <w:highlight w:val="yellow"/>
              </w:rPr>
              <w:t xml:space="preserve"> </w:t>
            </w:r>
          </w:p>
          <w:p w14:paraId="54A38090" w14:textId="7B2FD33E" w:rsidR="00CA713B" w:rsidRPr="008B6E74" w:rsidRDefault="00587348" w:rsidP="00031E2F">
            <w:pPr>
              <w:pStyle w:val="BodyText"/>
              <w:ind w:left="720"/>
              <w:rPr>
                <w:sz w:val="20"/>
                <w:szCs w:val="20"/>
              </w:rPr>
            </w:pPr>
            <w:r w:rsidRPr="008B6E74">
              <w:rPr>
                <w:sz w:val="20"/>
                <w:szCs w:val="20"/>
                <w:highlight w:val="yellow"/>
              </w:rPr>
              <w:t xml:space="preserve">(e) </w:t>
            </w:r>
            <w:r w:rsidR="004E455E" w:rsidRPr="008B6E74">
              <w:rPr>
                <w:sz w:val="20"/>
                <w:szCs w:val="20"/>
                <w:highlight w:val="yellow"/>
              </w:rPr>
              <w:t>Volatile Organic Compounds</w:t>
            </w:r>
            <w:r w:rsidR="006A7750" w:rsidRPr="008B6E74">
              <w:rPr>
                <w:sz w:val="20"/>
                <w:szCs w:val="20"/>
                <w:highlight w:val="yellow"/>
              </w:rPr>
              <w:t>:</w:t>
            </w:r>
          </w:p>
          <w:p w14:paraId="5170F7C4" w14:textId="0DE72636" w:rsidR="00587348" w:rsidRPr="008B6E74" w:rsidRDefault="00CA713B" w:rsidP="00CB3C5C">
            <w:pPr>
              <w:pStyle w:val="BodyText"/>
              <w:numPr>
                <w:ilvl w:val="0"/>
                <w:numId w:val="8"/>
              </w:numPr>
              <w:rPr>
                <w:sz w:val="20"/>
                <w:szCs w:val="20"/>
              </w:rPr>
            </w:pPr>
            <w:r w:rsidRPr="008B6E74">
              <w:rPr>
                <w:sz w:val="20"/>
                <w:szCs w:val="20"/>
              </w:rPr>
              <w:t>Soil contamination</w:t>
            </w:r>
            <w:r w:rsidR="00F45BF0" w:rsidRPr="008B6E74">
              <w:rPr>
                <w:sz w:val="20"/>
                <w:szCs w:val="20"/>
              </w:rPr>
              <w:t xml:space="preserve"> </w:t>
            </w:r>
            <w:r w:rsidR="00F45BF0" w:rsidRPr="008B6E74">
              <w:rPr>
                <w:sz w:val="20"/>
                <w:szCs w:val="20"/>
                <w:highlight w:val="yellow"/>
              </w:rPr>
              <w:t>(metals, organic compounds, inorganic compounds)</w:t>
            </w:r>
            <w:r w:rsidR="006A7750" w:rsidRPr="008B6E74">
              <w:rPr>
                <w:sz w:val="20"/>
                <w:szCs w:val="20"/>
              </w:rPr>
              <w:t>:</w:t>
            </w:r>
          </w:p>
          <w:p w14:paraId="416401F8" w14:textId="77777777" w:rsidR="00587348" w:rsidRPr="008B6E74" w:rsidRDefault="00CA713B" w:rsidP="006A7750">
            <w:pPr>
              <w:pStyle w:val="BodyText"/>
              <w:numPr>
                <w:ilvl w:val="0"/>
                <w:numId w:val="8"/>
              </w:numPr>
              <w:rPr>
                <w:sz w:val="20"/>
                <w:szCs w:val="20"/>
              </w:rPr>
            </w:pPr>
            <w:r w:rsidRPr="008B6E74">
              <w:rPr>
                <w:sz w:val="20"/>
                <w:szCs w:val="20"/>
              </w:rPr>
              <w:t>Water quality</w:t>
            </w:r>
            <w:r w:rsidR="00582D4C" w:rsidRPr="008B6E74">
              <w:rPr>
                <w:sz w:val="20"/>
                <w:szCs w:val="20"/>
              </w:rPr>
              <w:t xml:space="preserve"> (drinking and non-drinking water)</w:t>
            </w:r>
            <w:r w:rsidR="000757C0" w:rsidRPr="008B6E74">
              <w:rPr>
                <w:sz w:val="20"/>
                <w:szCs w:val="20"/>
              </w:rPr>
              <w:t>:</w:t>
            </w:r>
            <w:r w:rsidR="004E455E" w:rsidRPr="008B6E74">
              <w:rPr>
                <w:sz w:val="20"/>
                <w:szCs w:val="20"/>
                <w:highlight w:val="yellow"/>
              </w:rPr>
              <w:t xml:space="preserve"> </w:t>
            </w:r>
          </w:p>
          <w:p w14:paraId="388D70C2" w14:textId="77777777" w:rsidR="00587348" w:rsidRPr="008B6E74" w:rsidRDefault="004E455E" w:rsidP="00031E2F">
            <w:pPr>
              <w:pStyle w:val="BodyText"/>
              <w:ind w:left="720"/>
              <w:rPr>
                <w:sz w:val="20"/>
                <w:szCs w:val="20"/>
              </w:rPr>
            </w:pPr>
            <w:r w:rsidRPr="008B6E74">
              <w:rPr>
                <w:sz w:val="20"/>
                <w:szCs w:val="20"/>
                <w:highlight w:val="yellow"/>
              </w:rPr>
              <w:t>(a) Drinking water</w:t>
            </w:r>
            <w:r w:rsidR="006A7750" w:rsidRPr="008B6E74">
              <w:rPr>
                <w:sz w:val="20"/>
                <w:szCs w:val="20"/>
                <w:highlight w:val="yellow"/>
              </w:rPr>
              <w:t>:</w:t>
            </w:r>
            <w:r w:rsidRPr="008B6E74">
              <w:rPr>
                <w:sz w:val="20"/>
                <w:szCs w:val="20"/>
                <w:highlight w:val="yellow"/>
              </w:rPr>
              <w:t xml:space="preserve"> </w:t>
            </w:r>
            <w:r w:rsidR="006A7750" w:rsidRPr="008B6E74">
              <w:rPr>
                <w:sz w:val="20"/>
                <w:szCs w:val="20"/>
                <w:highlight w:val="yellow"/>
              </w:rPr>
              <w:t xml:space="preserve"> </w:t>
            </w:r>
          </w:p>
          <w:p w14:paraId="26C583A9" w14:textId="1ADA020D" w:rsidR="00CA713B" w:rsidRPr="008B6E74" w:rsidRDefault="006A7750" w:rsidP="00031E2F">
            <w:pPr>
              <w:pStyle w:val="BodyText"/>
              <w:ind w:left="720"/>
              <w:rPr>
                <w:sz w:val="20"/>
                <w:szCs w:val="20"/>
              </w:rPr>
            </w:pPr>
            <w:r w:rsidRPr="008B6E74">
              <w:rPr>
                <w:sz w:val="20"/>
                <w:szCs w:val="20"/>
                <w:highlight w:val="yellow"/>
              </w:rPr>
              <w:t>(b) Non-drinking water</w:t>
            </w:r>
            <w:r w:rsidRPr="008B6E74">
              <w:rPr>
                <w:sz w:val="20"/>
                <w:szCs w:val="20"/>
              </w:rPr>
              <w:t>:</w:t>
            </w:r>
          </w:p>
          <w:p w14:paraId="32A21D49" w14:textId="415E3C9C" w:rsidR="00CA713B" w:rsidRPr="008B6E74" w:rsidRDefault="00CA713B" w:rsidP="006A7750">
            <w:pPr>
              <w:pStyle w:val="BodyText"/>
              <w:numPr>
                <w:ilvl w:val="0"/>
                <w:numId w:val="8"/>
              </w:numPr>
              <w:rPr>
                <w:sz w:val="20"/>
                <w:szCs w:val="20"/>
              </w:rPr>
            </w:pPr>
            <w:r w:rsidRPr="008B6E74">
              <w:rPr>
                <w:sz w:val="20"/>
                <w:szCs w:val="20"/>
              </w:rPr>
              <w:t>Endemic diseases</w:t>
            </w:r>
            <w:r w:rsidR="00587348" w:rsidRPr="008B6E74">
              <w:rPr>
                <w:sz w:val="20"/>
                <w:szCs w:val="20"/>
              </w:rPr>
              <w:t>:</w:t>
            </w:r>
            <w:r w:rsidR="00582D4C" w:rsidRPr="008B6E74">
              <w:rPr>
                <w:sz w:val="20"/>
                <w:szCs w:val="20"/>
              </w:rPr>
              <w:t xml:space="preserve"> (</w:t>
            </w:r>
            <w:r w:rsidR="009028B2" w:rsidRPr="008B6E74">
              <w:rPr>
                <w:sz w:val="20"/>
                <w:szCs w:val="20"/>
              </w:rPr>
              <w:t>infectious and communicable diseases</w:t>
            </w:r>
            <w:r w:rsidR="00EA46B0" w:rsidRPr="008B6E74">
              <w:rPr>
                <w:sz w:val="20"/>
                <w:szCs w:val="20"/>
              </w:rPr>
              <w:t xml:space="preserve">, </w:t>
            </w:r>
            <w:r w:rsidR="00EA46B0" w:rsidRPr="008B6E74">
              <w:rPr>
                <w:sz w:val="20"/>
                <w:szCs w:val="20"/>
                <w:highlight w:val="yellow"/>
              </w:rPr>
              <w:t>vaccine preventable/non-vaccine preventable</w:t>
            </w:r>
            <w:r w:rsidR="00EA46B0" w:rsidRPr="008B6E74">
              <w:rPr>
                <w:sz w:val="20"/>
                <w:szCs w:val="20"/>
              </w:rPr>
              <w:t xml:space="preserve"> diseases, of all routes </w:t>
            </w:r>
            <w:proofErr w:type="gramStart"/>
            <w:r w:rsidR="00EA46B0" w:rsidRPr="008B6E74">
              <w:rPr>
                <w:sz w:val="20"/>
                <w:szCs w:val="20"/>
              </w:rPr>
              <w:t>including:</w:t>
            </w:r>
            <w:proofErr w:type="gramEnd"/>
            <w:r w:rsidR="00EA46B0" w:rsidRPr="008B6E74">
              <w:rPr>
                <w:sz w:val="20"/>
                <w:szCs w:val="20"/>
              </w:rPr>
              <w:t xml:space="preserve"> </w:t>
            </w:r>
            <w:r w:rsidR="00582D4C" w:rsidRPr="008B6E74">
              <w:rPr>
                <w:sz w:val="20"/>
                <w:szCs w:val="20"/>
              </w:rPr>
              <w:t>food &amp; waterborne, arthropod vector</w:t>
            </w:r>
            <w:r w:rsidR="006B26BD" w:rsidRPr="008B6E74">
              <w:rPr>
                <w:sz w:val="20"/>
                <w:szCs w:val="20"/>
              </w:rPr>
              <w:t xml:space="preserve"> </w:t>
            </w:r>
            <w:r w:rsidR="00582D4C" w:rsidRPr="008B6E74">
              <w:rPr>
                <w:sz w:val="20"/>
                <w:szCs w:val="20"/>
              </w:rPr>
              <w:t>borne, water contact, respiratory, animal contact</w:t>
            </w:r>
            <w:r w:rsidR="00F45BF0" w:rsidRPr="008B6E74">
              <w:rPr>
                <w:sz w:val="20"/>
                <w:szCs w:val="20"/>
              </w:rPr>
              <w:t xml:space="preserve">, </w:t>
            </w:r>
            <w:r w:rsidR="00F45BF0" w:rsidRPr="008B6E74">
              <w:rPr>
                <w:sz w:val="20"/>
                <w:szCs w:val="20"/>
                <w:highlight w:val="yellow"/>
              </w:rPr>
              <w:t>aerosolized dust or soil contact</w:t>
            </w:r>
            <w:r w:rsidR="00582D4C" w:rsidRPr="008B6E74">
              <w:rPr>
                <w:sz w:val="20"/>
                <w:szCs w:val="20"/>
                <w:highlight w:val="yellow"/>
              </w:rPr>
              <w:t>)</w:t>
            </w:r>
            <w:r w:rsidR="006A7750" w:rsidRPr="008B6E74">
              <w:rPr>
                <w:sz w:val="20"/>
                <w:szCs w:val="20"/>
              </w:rPr>
              <w:t>:</w:t>
            </w:r>
            <w:r w:rsidR="00582D4C" w:rsidRPr="008B6E74">
              <w:rPr>
                <w:sz w:val="20"/>
                <w:szCs w:val="20"/>
              </w:rPr>
              <w:t xml:space="preserve"> </w:t>
            </w:r>
          </w:p>
          <w:p w14:paraId="4FD5B2E1" w14:textId="77777777" w:rsidR="00587348" w:rsidRPr="008B6E74" w:rsidRDefault="00CA713B" w:rsidP="006A7750">
            <w:pPr>
              <w:pStyle w:val="BodyText"/>
              <w:numPr>
                <w:ilvl w:val="0"/>
                <w:numId w:val="8"/>
              </w:numPr>
              <w:rPr>
                <w:sz w:val="20"/>
                <w:szCs w:val="20"/>
              </w:rPr>
            </w:pPr>
            <w:r w:rsidRPr="008B6E74">
              <w:rPr>
                <w:sz w:val="20"/>
                <w:szCs w:val="20"/>
              </w:rPr>
              <w:t>Venomous animals</w:t>
            </w:r>
            <w:r w:rsidR="00587348" w:rsidRPr="008B6E74">
              <w:rPr>
                <w:sz w:val="20"/>
                <w:szCs w:val="20"/>
              </w:rPr>
              <w:t xml:space="preserve">: </w:t>
            </w:r>
          </w:p>
          <w:p w14:paraId="19F07C03" w14:textId="7F1AD92F" w:rsidR="00587348" w:rsidRPr="008B6E74" w:rsidRDefault="00587348" w:rsidP="00EC29E7">
            <w:pPr>
              <w:pStyle w:val="BodyText"/>
              <w:ind w:left="720"/>
              <w:rPr>
                <w:sz w:val="20"/>
                <w:szCs w:val="20"/>
              </w:rPr>
            </w:pPr>
            <w:r w:rsidRPr="008B6E74">
              <w:rPr>
                <w:sz w:val="20"/>
                <w:szCs w:val="20"/>
              </w:rPr>
              <w:t>(a) S</w:t>
            </w:r>
            <w:r w:rsidR="00582D4C" w:rsidRPr="008B6E74">
              <w:rPr>
                <w:sz w:val="20"/>
                <w:szCs w:val="20"/>
              </w:rPr>
              <w:t>nakes</w:t>
            </w:r>
            <w:r w:rsidR="00CB3C5C" w:rsidRPr="008B6E74">
              <w:rPr>
                <w:sz w:val="20"/>
                <w:szCs w:val="20"/>
              </w:rPr>
              <w:t>:</w:t>
            </w:r>
          </w:p>
          <w:p w14:paraId="0A64B9D7" w14:textId="440ADAF5" w:rsidR="00587348" w:rsidRPr="008B6E74" w:rsidRDefault="00587348" w:rsidP="00EC29E7">
            <w:pPr>
              <w:pStyle w:val="BodyText"/>
              <w:ind w:left="720"/>
              <w:rPr>
                <w:sz w:val="20"/>
                <w:szCs w:val="20"/>
              </w:rPr>
            </w:pPr>
            <w:r w:rsidRPr="008B6E74">
              <w:rPr>
                <w:sz w:val="20"/>
                <w:szCs w:val="20"/>
              </w:rPr>
              <w:t>(b) S</w:t>
            </w:r>
            <w:r w:rsidR="00582D4C" w:rsidRPr="008B6E74">
              <w:rPr>
                <w:sz w:val="20"/>
                <w:szCs w:val="20"/>
              </w:rPr>
              <w:t>corpions</w:t>
            </w:r>
            <w:r w:rsidR="00CB3C5C" w:rsidRPr="008B6E74">
              <w:rPr>
                <w:sz w:val="20"/>
                <w:szCs w:val="20"/>
              </w:rPr>
              <w:t>:</w:t>
            </w:r>
          </w:p>
          <w:p w14:paraId="7BDF9176" w14:textId="44EFBAF0" w:rsidR="00CA713B" w:rsidRPr="008B6E74" w:rsidRDefault="00587348" w:rsidP="00EC29E7">
            <w:pPr>
              <w:pStyle w:val="BodyText"/>
              <w:ind w:left="720"/>
              <w:rPr>
                <w:sz w:val="20"/>
                <w:szCs w:val="20"/>
              </w:rPr>
            </w:pPr>
            <w:r w:rsidRPr="008B6E74">
              <w:rPr>
                <w:sz w:val="20"/>
                <w:szCs w:val="20"/>
              </w:rPr>
              <w:t>(c) S</w:t>
            </w:r>
            <w:r w:rsidR="00582D4C" w:rsidRPr="008B6E74">
              <w:rPr>
                <w:sz w:val="20"/>
                <w:szCs w:val="20"/>
              </w:rPr>
              <w:t>piders</w:t>
            </w:r>
            <w:r w:rsidR="006A7750" w:rsidRPr="008B6E74">
              <w:rPr>
                <w:sz w:val="20"/>
                <w:szCs w:val="20"/>
              </w:rPr>
              <w:t>:</w:t>
            </w:r>
          </w:p>
          <w:p w14:paraId="476C2AFB" w14:textId="21359AD5" w:rsidR="00587348" w:rsidRPr="008B6E74" w:rsidRDefault="0018028D" w:rsidP="006A7750">
            <w:pPr>
              <w:pStyle w:val="BodyText"/>
              <w:numPr>
                <w:ilvl w:val="0"/>
                <w:numId w:val="8"/>
              </w:numPr>
              <w:rPr>
                <w:sz w:val="20"/>
                <w:szCs w:val="20"/>
              </w:rPr>
            </w:pPr>
            <w:r w:rsidRPr="008B6E74">
              <w:rPr>
                <w:sz w:val="20"/>
                <w:szCs w:val="20"/>
              </w:rPr>
              <w:t>T</w:t>
            </w:r>
            <w:r w:rsidR="00CA713B" w:rsidRPr="008B6E74">
              <w:rPr>
                <w:sz w:val="20"/>
                <w:szCs w:val="20"/>
              </w:rPr>
              <w:t>hermal stresses</w:t>
            </w:r>
            <w:r w:rsidR="000757C0" w:rsidRPr="008B6E74">
              <w:rPr>
                <w:sz w:val="20"/>
                <w:szCs w:val="20"/>
              </w:rPr>
              <w:t>:</w:t>
            </w:r>
            <w:r w:rsidR="006A7750" w:rsidRPr="008B6E74">
              <w:rPr>
                <w:sz w:val="20"/>
                <w:szCs w:val="20"/>
              </w:rPr>
              <w:t xml:space="preserve"> </w:t>
            </w:r>
          </w:p>
          <w:p w14:paraId="15F580E4" w14:textId="77777777" w:rsidR="00587348" w:rsidRPr="008B6E74" w:rsidRDefault="006A7750" w:rsidP="00EC29E7">
            <w:pPr>
              <w:pStyle w:val="BodyText"/>
              <w:ind w:left="720"/>
              <w:rPr>
                <w:sz w:val="20"/>
                <w:szCs w:val="20"/>
              </w:rPr>
            </w:pPr>
            <w:r w:rsidRPr="008B6E74">
              <w:rPr>
                <w:sz w:val="20"/>
                <w:szCs w:val="20"/>
                <w:highlight w:val="yellow"/>
              </w:rPr>
              <w:t xml:space="preserve">(a) Heat: </w:t>
            </w:r>
          </w:p>
          <w:p w14:paraId="465F2477" w14:textId="4A26608B" w:rsidR="00587348" w:rsidRPr="008B6E74" w:rsidRDefault="006A7750" w:rsidP="00EC29E7">
            <w:pPr>
              <w:pStyle w:val="BodyText"/>
              <w:ind w:left="720"/>
              <w:rPr>
                <w:sz w:val="20"/>
                <w:szCs w:val="20"/>
              </w:rPr>
            </w:pPr>
            <w:r w:rsidRPr="008B6E74">
              <w:rPr>
                <w:sz w:val="20"/>
                <w:szCs w:val="20"/>
                <w:highlight w:val="yellow"/>
              </w:rPr>
              <w:t>(b) Cold:</w:t>
            </w:r>
          </w:p>
          <w:p w14:paraId="39474812" w14:textId="77777777" w:rsidR="00587348" w:rsidRPr="008B6E74" w:rsidRDefault="00CA713B" w:rsidP="006A7750">
            <w:pPr>
              <w:pStyle w:val="BodyText"/>
              <w:numPr>
                <w:ilvl w:val="0"/>
                <w:numId w:val="8"/>
              </w:numPr>
              <w:rPr>
                <w:sz w:val="20"/>
                <w:szCs w:val="20"/>
              </w:rPr>
            </w:pPr>
            <w:r w:rsidRPr="008B6E74">
              <w:rPr>
                <w:sz w:val="20"/>
                <w:szCs w:val="20"/>
              </w:rPr>
              <w:t>Noise</w:t>
            </w:r>
            <w:r w:rsidR="00587348" w:rsidRPr="008B6E74">
              <w:rPr>
                <w:sz w:val="20"/>
                <w:szCs w:val="20"/>
              </w:rPr>
              <w:t xml:space="preserve">: </w:t>
            </w:r>
          </w:p>
          <w:p w14:paraId="700F704F" w14:textId="231CEB90" w:rsidR="00587348" w:rsidRPr="008B6E74" w:rsidRDefault="00587348" w:rsidP="00EC29E7">
            <w:pPr>
              <w:pStyle w:val="BodyText"/>
              <w:ind w:left="720"/>
              <w:rPr>
                <w:sz w:val="20"/>
                <w:szCs w:val="20"/>
              </w:rPr>
            </w:pPr>
            <w:r w:rsidRPr="008B6E74">
              <w:rPr>
                <w:sz w:val="20"/>
                <w:szCs w:val="20"/>
              </w:rPr>
              <w:t>(a) C</w:t>
            </w:r>
            <w:r w:rsidR="00582D4C" w:rsidRPr="008B6E74">
              <w:rPr>
                <w:sz w:val="20"/>
                <w:szCs w:val="20"/>
              </w:rPr>
              <w:t>ontinuous</w:t>
            </w:r>
            <w:r w:rsidR="00CB3C5C" w:rsidRPr="008B6E74">
              <w:rPr>
                <w:sz w:val="20"/>
                <w:szCs w:val="20"/>
              </w:rPr>
              <w:t>:</w:t>
            </w:r>
          </w:p>
          <w:p w14:paraId="4429C7A3" w14:textId="43EF0E0C" w:rsidR="00CA713B" w:rsidRPr="008B6E74" w:rsidRDefault="00587348" w:rsidP="00EC29E7">
            <w:pPr>
              <w:pStyle w:val="BodyText"/>
              <w:ind w:left="720"/>
              <w:rPr>
                <w:sz w:val="20"/>
                <w:szCs w:val="20"/>
              </w:rPr>
            </w:pPr>
            <w:r w:rsidRPr="008B6E74">
              <w:rPr>
                <w:sz w:val="20"/>
                <w:szCs w:val="20"/>
              </w:rPr>
              <w:t>(b) I</w:t>
            </w:r>
            <w:r w:rsidR="00582D4C" w:rsidRPr="008B6E74">
              <w:rPr>
                <w:sz w:val="20"/>
                <w:szCs w:val="20"/>
              </w:rPr>
              <w:t>mpulse</w:t>
            </w:r>
            <w:r w:rsidR="00244649" w:rsidRPr="008B6E74">
              <w:rPr>
                <w:sz w:val="20"/>
                <w:szCs w:val="20"/>
              </w:rPr>
              <w:t>:</w:t>
            </w:r>
          </w:p>
          <w:p w14:paraId="4456BDE6" w14:textId="64D7ECE6" w:rsidR="00F45BF0" w:rsidRPr="008B6E74" w:rsidRDefault="00F45BF0" w:rsidP="006A7750">
            <w:pPr>
              <w:pStyle w:val="BodyText"/>
              <w:numPr>
                <w:ilvl w:val="0"/>
                <w:numId w:val="8"/>
              </w:numPr>
              <w:rPr>
                <w:sz w:val="20"/>
                <w:szCs w:val="20"/>
                <w:highlight w:val="yellow"/>
              </w:rPr>
            </w:pPr>
            <w:r w:rsidRPr="008B6E74">
              <w:rPr>
                <w:sz w:val="20"/>
                <w:szCs w:val="20"/>
                <w:highlight w:val="yellow"/>
              </w:rPr>
              <w:t>Unique incidents/concerns (pesticides/pest control)</w:t>
            </w:r>
            <w:r w:rsidR="006A7750" w:rsidRPr="008B6E74">
              <w:rPr>
                <w:sz w:val="20"/>
                <w:szCs w:val="20"/>
                <w:highlight w:val="yellow"/>
              </w:rPr>
              <w:t>:</w:t>
            </w:r>
          </w:p>
          <w:p w14:paraId="7178A6C0" w14:textId="44D7019D" w:rsidR="004E455E" w:rsidRDefault="00582D4C" w:rsidP="008757A4">
            <w:pPr>
              <w:pStyle w:val="BodyText"/>
              <w:numPr>
                <w:ilvl w:val="0"/>
                <w:numId w:val="8"/>
              </w:numPr>
              <w:spacing w:after="0"/>
              <w:rPr>
                <w:sz w:val="20"/>
                <w:szCs w:val="20"/>
              </w:rPr>
            </w:pPr>
            <w:r w:rsidRPr="008B6E74">
              <w:rPr>
                <w:sz w:val="20"/>
                <w:szCs w:val="20"/>
              </w:rPr>
              <w:t>Burn pits</w:t>
            </w:r>
            <w:r w:rsidR="00F45BF0" w:rsidRPr="008B6E74">
              <w:rPr>
                <w:sz w:val="20"/>
                <w:szCs w:val="20"/>
              </w:rPr>
              <w:t>:</w:t>
            </w:r>
            <w:r w:rsidRPr="008B6E74">
              <w:rPr>
                <w:sz w:val="20"/>
                <w:szCs w:val="20"/>
              </w:rPr>
              <w:t xml:space="preserve"> </w:t>
            </w:r>
          </w:p>
          <w:p w14:paraId="15479471" w14:textId="77777777" w:rsidR="009605D0" w:rsidRPr="008B6E74" w:rsidRDefault="009605D0" w:rsidP="009605D0">
            <w:pPr>
              <w:pStyle w:val="BodyText"/>
              <w:spacing w:after="0"/>
              <w:ind w:left="720"/>
              <w:rPr>
                <w:sz w:val="20"/>
                <w:szCs w:val="20"/>
              </w:rPr>
            </w:pPr>
          </w:p>
          <w:p w14:paraId="7C47F7EC" w14:textId="1D0E4A5B" w:rsidR="004E455E" w:rsidRPr="008B6E74" w:rsidRDefault="00CA713B" w:rsidP="004E455E">
            <w:pPr>
              <w:pStyle w:val="ListParagraph"/>
              <w:ind w:left="-30"/>
              <w:rPr>
                <w:i/>
                <w:iCs/>
                <w:sz w:val="20"/>
                <w:szCs w:val="20"/>
              </w:rPr>
            </w:pPr>
            <w:r w:rsidRPr="008B6E74">
              <w:rPr>
                <w:i/>
                <w:iCs/>
                <w:sz w:val="20"/>
                <w:szCs w:val="20"/>
              </w:rPr>
              <w:lastRenderedPageBreak/>
              <w:t xml:space="preserve"> </w:t>
            </w:r>
            <w:r w:rsidR="004E455E" w:rsidRPr="008B6E74">
              <w:rPr>
                <w:i/>
                <w:iCs/>
                <w:sz w:val="20"/>
                <w:szCs w:val="20"/>
              </w:rPr>
              <w:t xml:space="preserve">The following hazards may </w:t>
            </w:r>
            <w:r w:rsidR="00AC55C2" w:rsidRPr="008B6E74">
              <w:rPr>
                <w:i/>
                <w:iCs/>
                <w:sz w:val="20"/>
                <w:szCs w:val="20"/>
              </w:rPr>
              <w:t>potentially cause</w:t>
            </w:r>
            <w:r w:rsidR="004E455E" w:rsidRPr="008B6E74">
              <w:rPr>
                <w:i/>
                <w:iCs/>
                <w:sz w:val="20"/>
                <w:szCs w:val="20"/>
              </w:rPr>
              <w:t xml:space="preserve"> </w:t>
            </w:r>
            <w:r w:rsidR="00AF4F07" w:rsidRPr="008B6E74">
              <w:rPr>
                <w:i/>
                <w:iCs/>
                <w:sz w:val="20"/>
                <w:szCs w:val="20"/>
                <w:highlight w:val="yellow"/>
              </w:rPr>
              <w:t>CHRONIC</w:t>
            </w:r>
            <w:r w:rsidR="004E455E" w:rsidRPr="008B6E74">
              <w:rPr>
                <w:i/>
                <w:iCs/>
                <w:sz w:val="20"/>
                <w:szCs w:val="20"/>
              </w:rPr>
              <w:t xml:space="preserve"> health effects in some personnel during deployment at </w:t>
            </w:r>
            <w:r w:rsidR="004E455E" w:rsidRPr="008B6E74">
              <w:rPr>
                <w:i/>
                <w:iCs/>
                <w:sz w:val="20"/>
                <w:szCs w:val="20"/>
                <w:highlight w:val="green"/>
              </w:rPr>
              <w:t>Camp XXX</w:t>
            </w:r>
            <w:r w:rsidR="004E455E" w:rsidRPr="008B6E74">
              <w:rPr>
                <w:i/>
                <w:iCs/>
                <w:sz w:val="20"/>
                <w:szCs w:val="20"/>
              </w:rPr>
              <w:t xml:space="preserve"> </w:t>
            </w:r>
            <w:r w:rsidR="004E455E" w:rsidRPr="008B6E74">
              <w:rPr>
                <w:i/>
                <w:iCs/>
                <w:sz w:val="20"/>
                <w:szCs w:val="20"/>
                <w:highlight w:val="yellow"/>
              </w:rPr>
              <w:t>and vicinity, Country</w:t>
            </w:r>
            <w:r w:rsidR="004E455E" w:rsidRPr="008B6E74">
              <w:rPr>
                <w:i/>
                <w:iCs/>
                <w:sz w:val="20"/>
                <w:szCs w:val="20"/>
              </w:rPr>
              <w:t>:</w:t>
            </w:r>
          </w:p>
          <w:p w14:paraId="6FFF1424" w14:textId="77777777" w:rsidR="004E455E" w:rsidRPr="008B6E74" w:rsidRDefault="004E455E" w:rsidP="004E455E">
            <w:pPr>
              <w:pStyle w:val="ListParagraph"/>
              <w:ind w:left="-30"/>
              <w:rPr>
                <w:sz w:val="20"/>
                <w:szCs w:val="20"/>
              </w:rPr>
            </w:pPr>
          </w:p>
          <w:p w14:paraId="3DF02948" w14:textId="49CA4BF5" w:rsidR="00587348" w:rsidRPr="008B6E74" w:rsidRDefault="00587348" w:rsidP="00EC29E7">
            <w:pPr>
              <w:pStyle w:val="BodyText"/>
              <w:numPr>
                <w:ilvl w:val="0"/>
                <w:numId w:val="17"/>
              </w:numPr>
              <w:rPr>
                <w:sz w:val="20"/>
                <w:szCs w:val="20"/>
              </w:rPr>
            </w:pPr>
            <w:r w:rsidRPr="008B6E74">
              <w:rPr>
                <w:sz w:val="20"/>
                <w:szCs w:val="20"/>
              </w:rPr>
              <w:t>Air pollution, air quality, airborne environmental exposures</w:t>
            </w:r>
            <w:r w:rsidRPr="00860BB4">
              <w:rPr>
                <w:sz w:val="20"/>
                <w:szCs w:val="20"/>
              </w:rPr>
              <w:t>:</w:t>
            </w:r>
            <w:r w:rsidRPr="008B6E74">
              <w:rPr>
                <w:sz w:val="20"/>
                <w:szCs w:val="20"/>
                <w:highlight w:val="yellow"/>
              </w:rPr>
              <w:t xml:space="preserve"> </w:t>
            </w:r>
          </w:p>
          <w:p w14:paraId="416C83FA" w14:textId="70D0E01A" w:rsidR="00587348" w:rsidRPr="008B6E74" w:rsidRDefault="00587348" w:rsidP="00EC29E7">
            <w:pPr>
              <w:pStyle w:val="BodyText"/>
              <w:numPr>
                <w:ilvl w:val="1"/>
                <w:numId w:val="17"/>
              </w:numPr>
              <w:rPr>
                <w:sz w:val="20"/>
                <w:szCs w:val="20"/>
              </w:rPr>
            </w:pPr>
            <w:r w:rsidRPr="008B6E74">
              <w:rPr>
                <w:sz w:val="20"/>
                <w:szCs w:val="20"/>
                <w:highlight w:val="yellow"/>
              </w:rPr>
              <w:t xml:space="preserve">Particulate matter: </w:t>
            </w:r>
          </w:p>
          <w:p w14:paraId="7B0FD8F8" w14:textId="18322714" w:rsidR="00587348" w:rsidRPr="008B6E74" w:rsidRDefault="00587348" w:rsidP="00EC29E7">
            <w:pPr>
              <w:pStyle w:val="BodyText"/>
              <w:numPr>
                <w:ilvl w:val="1"/>
                <w:numId w:val="17"/>
              </w:numPr>
              <w:rPr>
                <w:sz w:val="20"/>
                <w:szCs w:val="20"/>
              </w:rPr>
            </w:pPr>
            <w:r w:rsidRPr="008B6E74">
              <w:rPr>
                <w:sz w:val="20"/>
                <w:szCs w:val="20"/>
                <w:highlight w:val="yellow"/>
              </w:rPr>
              <w:t xml:space="preserve">Metals: </w:t>
            </w:r>
          </w:p>
          <w:p w14:paraId="2A03A96A" w14:textId="5711F7D1" w:rsidR="00587348" w:rsidRPr="008B6E74" w:rsidRDefault="00587348" w:rsidP="00EC29E7">
            <w:pPr>
              <w:pStyle w:val="BodyText"/>
              <w:numPr>
                <w:ilvl w:val="1"/>
                <w:numId w:val="17"/>
              </w:numPr>
              <w:rPr>
                <w:sz w:val="20"/>
                <w:szCs w:val="20"/>
              </w:rPr>
            </w:pPr>
            <w:r w:rsidRPr="008B6E74">
              <w:rPr>
                <w:sz w:val="20"/>
                <w:szCs w:val="20"/>
                <w:highlight w:val="yellow"/>
              </w:rPr>
              <w:t xml:space="preserve">Ozone: </w:t>
            </w:r>
          </w:p>
          <w:p w14:paraId="69872325" w14:textId="675CE6B0" w:rsidR="00587348" w:rsidRPr="008B6E74" w:rsidRDefault="00587348" w:rsidP="00EC29E7">
            <w:pPr>
              <w:pStyle w:val="BodyText"/>
              <w:numPr>
                <w:ilvl w:val="1"/>
                <w:numId w:val="17"/>
              </w:numPr>
              <w:rPr>
                <w:sz w:val="20"/>
                <w:szCs w:val="20"/>
              </w:rPr>
            </w:pPr>
            <w:r w:rsidRPr="008B6E74">
              <w:rPr>
                <w:sz w:val="20"/>
                <w:szCs w:val="20"/>
                <w:highlight w:val="yellow"/>
              </w:rPr>
              <w:t xml:space="preserve">Nitrogen Dioxide: </w:t>
            </w:r>
          </w:p>
          <w:p w14:paraId="005C21E7" w14:textId="4F868D3A" w:rsidR="00587348" w:rsidRPr="008B6E74" w:rsidRDefault="00587348" w:rsidP="00EC29E7">
            <w:pPr>
              <w:pStyle w:val="BodyText"/>
              <w:numPr>
                <w:ilvl w:val="1"/>
                <w:numId w:val="17"/>
              </w:numPr>
              <w:rPr>
                <w:sz w:val="20"/>
                <w:szCs w:val="20"/>
              </w:rPr>
            </w:pPr>
            <w:r w:rsidRPr="008B6E74">
              <w:rPr>
                <w:sz w:val="20"/>
                <w:szCs w:val="20"/>
                <w:highlight w:val="yellow"/>
              </w:rPr>
              <w:t>Volatile Organic Compounds:</w:t>
            </w:r>
          </w:p>
          <w:p w14:paraId="6F60EF34" w14:textId="3DC88C76" w:rsidR="00587348" w:rsidRPr="008B6E74" w:rsidRDefault="00587348" w:rsidP="005A2BDF">
            <w:pPr>
              <w:pStyle w:val="BodyText"/>
              <w:numPr>
                <w:ilvl w:val="0"/>
                <w:numId w:val="17"/>
              </w:numPr>
              <w:rPr>
                <w:sz w:val="20"/>
                <w:szCs w:val="20"/>
              </w:rPr>
            </w:pPr>
            <w:r w:rsidRPr="008B6E74">
              <w:rPr>
                <w:sz w:val="20"/>
                <w:szCs w:val="20"/>
              </w:rPr>
              <w:t xml:space="preserve">Soil contamination </w:t>
            </w:r>
            <w:r w:rsidRPr="008B6E74">
              <w:rPr>
                <w:sz w:val="20"/>
                <w:szCs w:val="20"/>
                <w:highlight w:val="yellow"/>
              </w:rPr>
              <w:t>(metals, organic compounds, inorganic compounds)</w:t>
            </w:r>
            <w:r w:rsidRPr="008B6E74">
              <w:rPr>
                <w:sz w:val="20"/>
                <w:szCs w:val="20"/>
              </w:rPr>
              <w:t>:</w:t>
            </w:r>
          </w:p>
          <w:p w14:paraId="74C59699" w14:textId="77777777" w:rsidR="00587348" w:rsidRPr="008B6E74" w:rsidRDefault="00587348" w:rsidP="006261F5">
            <w:pPr>
              <w:pStyle w:val="BodyText"/>
              <w:numPr>
                <w:ilvl w:val="0"/>
                <w:numId w:val="17"/>
              </w:numPr>
              <w:rPr>
                <w:sz w:val="20"/>
                <w:szCs w:val="20"/>
              </w:rPr>
            </w:pPr>
            <w:r w:rsidRPr="008B6E74">
              <w:rPr>
                <w:sz w:val="20"/>
                <w:szCs w:val="20"/>
              </w:rPr>
              <w:t>Water quality (drinking and non-drinking water):</w:t>
            </w:r>
            <w:r w:rsidRPr="008B6E74">
              <w:rPr>
                <w:sz w:val="20"/>
                <w:szCs w:val="20"/>
                <w:highlight w:val="yellow"/>
              </w:rPr>
              <w:t xml:space="preserve"> </w:t>
            </w:r>
          </w:p>
          <w:p w14:paraId="5B2F5D66" w14:textId="33D0DB46" w:rsidR="00587348" w:rsidRPr="008B6E74" w:rsidRDefault="00587348" w:rsidP="006261F5">
            <w:pPr>
              <w:pStyle w:val="BodyText"/>
              <w:numPr>
                <w:ilvl w:val="1"/>
                <w:numId w:val="17"/>
              </w:numPr>
              <w:rPr>
                <w:sz w:val="20"/>
                <w:szCs w:val="20"/>
              </w:rPr>
            </w:pPr>
            <w:r w:rsidRPr="008B6E74">
              <w:rPr>
                <w:sz w:val="20"/>
                <w:szCs w:val="20"/>
                <w:highlight w:val="yellow"/>
              </w:rPr>
              <w:t xml:space="preserve">Drinking water:  </w:t>
            </w:r>
          </w:p>
          <w:p w14:paraId="431EE899" w14:textId="6E78E4C5" w:rsidR="00587348" w:rsidRPr="008B6E74" w:rsidRDefault="00587348" w:rsidP="006261F5">
            <w:pPr>
              <w:pStyle w:val="BodyText"/>
              <w:numPr>
                <w:ilvl w:val="1"/>
                <w:numId w:val="17"/>
              </w:numPr>
              <w:rPr>
                <w:sz w:val="20"/>
                <w:szCs w:val="20"/>
              </w:rPr>
            </w:pPr>
            <w:r w:rsidRPr="008B6E74">
              <w:rPr>
                <w:sz w:val="20"/>
                <w:szCs w:val="20"/>
                <w:highlight w:val="yellow"/>
              </w:rPr>
              <w:t xml:space="preserve">Non-drinking </w:t>
            </w:r>
            <w:r w:rsidRPr="008B6E74">
              <w:rPr>
                <w:sz w:val="20"/>
                <w:szCs w:val="20"/>
                <w:highlight w:val="yellow"/>
                <w:shd w:val="clear" w:color="auto" w:fill="FFFF00"/>
              </w:rPr>
              <w:t>water</w:t>
            </w:r>
            <w:r w:rsidRPr="008B6E74">
              <w:rPr>
                <w:sz w:val="20"/>
                <w:szCs w:val="20"/>
                <w:shd w:val="clear" w:color="auto" w:fill="FFFF00"/>
              </w:rPr>
              <w:t>:</w:t>
            </w:r>
          </w:p>
          <w:p w14:paraId="13CE078E" w14:textId="375E1EA2" w:rsidR="00587348" w:rsidRPr="008B6E74" w:rsidRDefault="00587348" w:rsidP="006261F5">
            <w:pPr>
              <w:pStyle w:val="BodyText"/>
              <w:numPr>
                <w:ilvl w:val="0"/>
                <w:numId w:val="17"/>
              </w:numPr>
              <w:rPr>
                <w:sz w:val="20"/>
                <w:szCs w:val="20"/>
              </w:rPr>
            </w:pPr>
            <w:r w:rsidRPr="008B6E74">
              <w:rPr>
                <w:sz w:val="20"/>
                <w:szCs w:val="20"/>
              </w:rPr>
              <w:t>Endemic diseases: (</w:t>
            </w:r>
            <w:r w:rsidR="00EA46B0" w:rsidRPr="008B6E74">
              <w:rPr>
                <w:sz w:val="20"/>
                <w:szCs w:val="20"/>
              </w:rPr>
              <w:t xml:space="preserve">infectious and communicable diseases, </w:t>
            </w:r>
            <w:r w:rsidR="00EA46B0" w:rsidRPr="008B6E74">
              <w:rPr>
                <w:sz w:val="20"/>
                <w:szCs w:val="20"/>
                <w:highlight w:val="yellow"/>
              </w:rPr>
              <w:t>vaccine preventable/non-vaccine preventable</w:t>
            </w:r>
            <w:r w:rsidR="00554AC1" w:rsidRPr="008B6E74">
              <w:rPr>
                <w:sz w:val="20"/>
                <w:szCs w:val="20"/>
              </w:rPr>
              <w:t xml:space="preserve">, of all routes </w:t>
            </w:r>
            <w:proofErr w:type="gramStart"/>
            <w:r w:rsidR="00554AC1" w:rsidRPr="008B6E74">
              <w:rPr>
                <w:sz w:val="20"/>
                <w:szCs w:val="20"/>
              </w:rPr>
              <w:t>including:</w:t>
            </w:r>
            <w:proofErr w:type="gramEnd"/>
            <w:r w:rsidR="00554AC1" w:rsidRPr="008B6E74">
              <w:rPr>
                <w:sz w:val="20"/>
                <w:szCs w:val="20"/>
              </w:rPr>
              <w:t xml:space="preserve"> </w:t>
            </w:r>
            <w:r w:rsidRPr="008B6E74">
              <w:rPr>
                <w:sz w:val="20"/>
                <w:szCs w:val="20"/>
              </w:rPr>
              <w:t xml:space="preserve">food &amp; waterborne, arthropod vector borne, water contact, respiratory, animal contact, </w:t>
            </w:r>
            <w:r w:rsidRPr="008B6E74">
              <w:rPr>
                <w:sz w:val="20"/>
                <w:szCs w:val="20"/>
                <w:highlight w:val="yellow"/>
              </w:rPr>
              <w:t>aerosolized dust or soil contact)</w:t>
            </w:r>
            <w:r w:rsidRPr="008B6E74">
              <w:rPr>
                <w:sz w:val="20"/>
                <w:szCs w:val="20"/>
              </w:rPr>
              <w:t xml:space="preserve">: </w:t>
            </w:r>
          </w:p>
          <w:p w14:paraId="6204A17C" w14:textId="77777777" w:rsidR="00587348" w:rsidRPr="008B6E74" w:rsidRDefault="00587348" w:rsidP="006261F5">
            <w:pPr>
              <w:pStyle w:val="BodyText"/>
              <w:numPr>
                <w:ilvl w:val="0"/>
                <w:numId w:val="17"/>
              </w:numPr>
              <w:rPr>
                <w:sz w:val="20"/>
                <w:szCs w:val="20"/>
              </w:rPr>
            </w:pPr>
            <w:r w:rsidRPr="008B6E74">
              <w:rPr>
                <w:sz w:val="20"/>
                <w:szCs w:val="20"/>
              </w:rPr>
              <w:t xml:space="preserve">Venomous animals: </w:t>
            </w:r>
          </w:p>
          <w:p w14:paraId="66B3F626" w14:textId="53DB33DA" w:rsidR="00587348" w:rsidRPr="008B6E74" w:rsidRDefault="00587348" w:rsidP="006261F5">
            <w:pPr>
              <w:pStyle w:val="BodyText"/>
              <w:numPr>
                <w:ilvl w:val="1"/>
                <w:numId w:val="17"/>
              </w:numPr>
              <w:rPr>
                <w:sz w:val="20"/>
                <w:szCs w:val="20"/>
              </w:rPr>
            </w:pPr>
            <w:r w:rsidRPr="008B6E74">
              <w:rPr>
                <w:sz w:val="20"/>
                <w:szCs w:val="20"/>
              </w:rPr>
              <w:t>Snakes</w:t>
            </w:r>
            <w:r w:rsidR="0004244D" w:rsidRPr="008B6E74">
              <w:rPr>
                <w:sz w:val="20"/>
                <w:szCs w:val="20"/>
              </w:rPr>
              <w:t>:</w:t>
            </w:r>
            <w:r w:rsidRPr="008B6E74">
              <w:rPr>
                <w:sz w:val="20"/>
                <w:szCs w:val="20"/>
              </w:rPr>
              <w:t xml:space="preserve"> </w:t>
            </w:r>
          </w:p>
          <w:p w14:paraId="20F7036C" w14:textId="1B611F38" w:rsidR="00587348" w:rsidRPr="008B6E74" w:rsidRDefault="00587348" w:rsidP="006261F5">
            <w:pPr>
              <w:pStyle w:val="BodyText"/>
              <w:numPr>
                <w:ilvl w:val="1"/>
                <w:numId w:val="17"/>
              </w:numPr>
              <w:rPr>
                <w:sz w:val="20"/>
                <w:szCs w:val="20"/>
              </w:rPr>
            </w:pPr>
            <w:r w:rsidRPr="008B6E74">
              <w:rPr>
                <w:sz w:val="20"/>
                <w:szCs w:val="20"/>
              </w:rPr>
              <w:t>Scorpions</w:t>
            </w:r>
            <w:r w:rsidR="0004244D" w:rsidRPr="008B6E74">
              <w:rPr>
                <w:sz w:val="20"/>
                <w:szCs w:val="20"/>
              </w:rPr>
              <w:t>:</w:t>
            </w:r>
          </w:p>
          <w:p w14:paraId="3F4B0420" w14:textId="571F3129" w:rsidR="00587348" w:rsidRPr="008B6E74" w:rsidRDefault="00587348" w:rsidP="006261F5">
            <w:pPr>
              <w:pStyle w:val="BodyText"/>
              <w:numPr>
                <w:ilvl w:val="1"/>
                <w:numId w:val="17"/>
              </w:numPr>
              <w:rPr>
                <w:sz w:val="20"/>
                <w:szCs w:val="20"/>
              </w:rPr>
            </w:pPr>
            <w:r w:rsidRPr="008B6E74">
              <w:rPr>
                <w:sz w:val="20"/>
                <w:szCs w:val="20"/>
              </w:rPr>
              <w:t>Spiders:</w:t>
            </w:r>
          </w:p>
          <w:p w14:paraId="3BEA1AD0" w14:textId="690A88F3" w:rsidR="00587348" w:rsidRPr="008B6E74" w:rsidRDefault="0004244D" w:rsidP="006261F5">
            <w:pPr>
              <w:pStyle w:val="BodyText"/>
              <w:numPr>
                <w:ilvl w:val="0"/>
                <w:numId w:val="17"/>
              </w:numPr>
              <w:rPr>
                <w:sz w:val="20"/>
                <w:szCs w:val="20"/>
              </w:rPr>
            </w:pPr>
            <w:r w:rsidRPr="008B6E74">
              <w:rPr>
                <w:sz w:val="20"/>
                <w:szCs w:val="20"/>
              </w:rPr>
              <w:t>T</w:t>
            </w:r>
            <w:r w:rsidR="00587348" w:rsidRPr="008B6E74">
              <w:rPr>
                <w:sz w:val="20"/>
                <w:szCs w:val="20"/>
              </w:rPr>
              <w:t>hermal stresses</w:t>
            </w:r>
            <w:r w:rsidR="00587348" w:rsidRPr="00860BB4">
              <w:rPr>
                <w:sz w:val="20"/>
                <w:szCs w:val="20"/>
              </w:rPr>
              <w:t>:</w:t>
            </w:r>
            <w:r w:rsidR="00587348" w:rsidRPr="008B6E74">
              <w:rPr>
                <w:sz w:val="20"/>
                <w:szCs w:val="20"/>
                <w:highlight w:val="yellow"/>
              </w:rPr>
              <w:t xml:space="preserve"> </w:t>
            </w:r>
          </w:p>
          <w:p w14:paraId="1F137994" w14:textId="5434B3C2" w:rsidR="00587348" w:rsidRPr="008B6E74" w:rsidRDefault="00587348" w:rsidP="006261F5">
            <w:pPr>
              <w:pStyle w:val="BodyText"/>
              <w:numPr>
                <w:ilvl w:val="1"/>
                <w:numId w:val="17"/>
              </w:numPr>
              <w:rPr>
                <w:sz w:val="20"/>
                <w:szCs w:val="20"/>
              </w:rPr>
            </w:pPr>
            <w:r w:rsidRPr="008B6E74">
              <w:rPr>
                <w:sz w:val="20"/>
                <w:szCs w:val="20"/>
                <w:highlight w:val="yellow"/>
              </w:rPr>
              <w:t xml:space="preserve">Heat: </w:t>
            </w:r>
          </w:p>
          <w:p w14:paraId="32175693" w14:textId="291EC40C" w:rsidR="00587348" w:rsidRPr="008B6E74" w:rsidRDefault="005A4A80" w:rsidP="00846CEA">
            <w:pPr>
              <w:pStyle w:val="BodyText"/>
              <w:numPr>
                <w:ilvl w:val="1"/>
                <w:numId w:val="17"/>
              </w:numPr>
              <w:rPr>
                <w:sz w:val="20"/>
                <w:szCs w:val="20"/>
              </w:rPr>
            </w:pPr>
            <w:r w:rsidRPr="008B6E74">
              <w:rPr>
                <w:sz w:val="20"/>
                <w:szCs w:val="20"/>
                <w:highlight w:val="yellow"/>
              </w:rPr>
              <w:t>Cold</w:t>
            </w:r>
            <w:r w:rsidRPr="008B6E74">
              <w:rPr>
                <w:sz w:val="20"/>
                <w:szCs w:val="20"/>
              </w:rPr>
              <w:t>:</w:t>
            </w:r>
          </w:p>
          <w:p w14:paraId="44611E7E" w14:textId="77777777" w:rsidR="00587348" w:rsidRPr="008B6E74" w:rsidRDefault="00587348" w:rsidP="005A4A80">
            <w:pPr>
              <w:pStyle w:val="BodyText"/>
              <w:numPr>
                <w:ilvl w:val="0"/>
                <w:numId w:val="17"/>
              </w:numPr>
              <w:rPr>
                <w:sz w:val="20"/>
                <w:szCs w:val="20"/>
              </w:rPr>
            </w:pPr>
            <w:r w:rsidRPr="008B6E74">
              <w:rPr>
                <w:sz w:val="20"/>
                <w:szCs w:val="20"/>
              </w:rPr>
              <w:t xml:space="preserve">Noise: </w:t>
            </w:r>
          </w:p>
          <w:p w14:paraId="5CDBA07D" w14:textId="6B98F3A3" w:rsidR="00587348" w:rsidRPr="008B6E74" w:rsidRDefault="00587348" w:rsidP="005A4A80">
            <w:pPr>
              <w:pStyle w:val="BodyText"/>
              <w:numPr>
                <w:ilvl w:val="1"/>
                <w:numId w:val="17"/>
              </w:numPr>
              <w:rPr>
                <w:sz w:val="20"/>
                <w:szCs w:val="20"/>
              </w:rPr>
            </w:pPr>
            <w:r w:rsidRPr="008B6E74">
              <w:rPr>
                <w:sz w:val="20"/>
                <w:szCs w:val="20"/>
              </w:rPr>
              <w:t>Continuous</w:t>
            </w:r>
          </w:p>
          <w:p w14:paraId="70A8B7A5" w14:textId="34E65225" w:rsidR="00587348" w:rsidRPr="008B6E74" w:rsidRDefault="00587348" w:rsidP="005A4A80">
            <w:pPr>
              <w:pStyle w:val="BodyText"/>
              <w:numPr>
                <w:ilvl w:val="1"/>
                <w:numId w:val="17"/>
              </w:numPr>
              <w:rPr>
                <w:sz w:val="20"/>
                <w:szCs w:val="20"/>
              </w:rPr>
            </w:pPr>
            <w:r w:rsidRPr="008B6E74">
              <w:rPr>
                <w:sz w:val="20"/>
                <w:szCs w:val="20"/>
              </w:rPr>
              <w:t>Impulse:</w:t>
            </w:r>
          </w:p>
          <w:p w14:paraId="139A25C9" w14:textId="77777777" w:rsidR="00587348" w:rsidRPr="008B6E74" w:rsidRDefault="00587348" w:rsidP="005A4A80">
            <w:pPr>
              <w:pStyle w:val="BodyText"/>
              <w:numPr>
                <w:ilvl w:val="0"/>
                <w:numId w:val="17"/>
              </w:numPr>
              <w:rPr>
                <w:sz w:val="20"/>
                <w:szCs w:val="20"/>
                <w:highlight w:val="yellow"/>
              </w:rPr>
            </w:pPr>
            <w:r w:rsidRPr="008B6E74">
              <w:rPr>
                <w:sz w:val="20"/>
                <w:szCs w:val="20"/>
                <w:highlight w:val="yellow"/>
              </w:rPr>
              <w:t>Unique incidents/concerns (pesticides/pest control):</w:t>
            </w:r>
          </w:p>
          <w:p w14:paraId="6CE822D5" w14:textId="17CE11A3" w:rsidR="00587348" w:rsidRPr="008B6E74" w:rsidRDefault="00587348" w:rsidP="00846CEA">
            <w:pPr>
              <w:pStyle w:val="BodyText"/>
              <w:numPr>
                <w:ilvl w:val="0"/>
                <w:numId w:val="17"/>
              </w:numPr>
              <w:spacing w:after="0"/>
              <w:rPr>
                <w:sz w:val="20"/>
                <w:szCs w:val="20"/>
              </w:rPr>
            </w:pPr>
            <w:r w:rsidRPr="008B6E74">
              <w:rPr>
                <w:sz w:val="20"/>
                <w:szCs w:val="20"/>
              </w:rPr>
              <w:t xml:space="preserve">Burn pits: </w:t>
            </w:r>
          </w:p>
          <w:p w14:paraId="7FA7AF58" w14:textId="77777777" w:rsidR="005A2BDF" w:rsidRPr="008B6E74" w:rsidRDefault="005A2BDF" w:rsidP="005A2BDF">
            <w:pPr>
              <w:pStyle w:val="BodyText"/>
              <w:spacing w:after="0"/>
              <w:ind w:left="720"/>
              <w:rPr>
                <w:sz w:val="20"/>
                <w:szCs w:val="20"/>
              </w:rPr>
            </w:pPr>
          </w:p>
          <w:p w14:paraId="3A70A457" w14:textId="1D155417" w:rsidR="00AF4F07" w:rsidRPr="000A0499" w:rsidRDefault="00A81407" w:rsidP="00462FB8">
            <w:pPr>
              <w:rPr>
                <w:rFonts w:ascii="Arial Narrow" w:hAnsi="Arial Narrow" w:cs="Arial"/>
                <w:sz w:val="20"/>
                <w:szCs w:val="20"/>
              </w:rPr>
            </w:pPr>
            <w:commentRangeStart w:id="6"/>
            <w:r w:rsidRPr="0076687D">
              <w:rPr>
                <w:rFonts w:ascii="Arial Narrow" w:hAnsi="Arial Narrow"/>
                <w:sz w:val="20"/>
                <w:szCs w:val="20"/>
                <w:highlight w:val="yellow"/>
              </w:rPr>
              <w:t xml:space="preserve">The Department of Veterans Affairs launched </w:t>
            </w:r>
            <w:r w:rsidR="009E4B4A" w:rsidRPr="0076687D">
              <w:rPr>
                <w:rFonts w:ascii="Arial Narrow" w:hAnsi="Arial Narrow"/>
                <w:sz w:val="20"/>
                <w:szCs w:val="20"/>
                <w:highlight w:val="yellow"/>
              </w:rPr>
              <w:t xml:space="preserve">its revamped </w:t>
            </w:r>
            <w:r w:rsidRPr="0076687D">
              <w:rPr>
                <w:rFonts w:ascii="Arial Narrow" w:hAnsi="Arial Narrow"/>
                <w:sz w:val="20"/>
                <w:szCs w:val="20"/>
                <w:highlight w:val="yellow"/>
              </w:rPr>
              <w:t>Airborne Hazards and Open Burn Pit Registry (AHOBPR) on 01 August 2024 (</w:t>
            </w:r>
            <w:hyperlink r:id="rId16" w:anchor="page/home" w:history="1">
              <w:r w:rsidRPr="0076687D">
                <w:rPr>
                  <w:rStyle w:val="Hyperlink"/>
                  <w:rFonts w:ascii="Arial Narrow" w:hAnsi="Arial Narrow"/>
                  <w:sz w:val="20"/>
                  <w:szCs w:val="20"/>
                  <w:highlight w:val="yellow"/>
                </w:rPr>
                <w:t>https://veteran.mobilehealth.va.gov/AHBurnPitRegistry/index.html#page/home</w:t>
              </w:r>
            </w:hyperlink>
            <w:r w:rsidRPr="0076687D">
              <w:rPr>
                <w:rFonts w:ascii="Arial Narrow" w:hAnsi="Arial Narrow"/>
                <w:sz w:val="20"/>
                <w:szCs w:val="20"/>
                <w:highlight w:val="yellow"/>
              </w:rPr>
              <w:t xml:space="preserve">). </w:t>
            </w:r>
            <w:r w:rsidR="00FA4C81" w:rsidRPr="0076687D">
              <w:rPr>
                <w:rFonts w:ascii="Arial Narrow" w:hAnsi="Arial Narrow"/>
                <w:sz w:val="20"/>
                <w:szCs w:val="20"/>
                <w:highlight w:val="yellow"/>
              </w:rPr>
              <w:t>It is their second version of the registry</w:t>
            </w:r>
            <w:r w:rsidR="005B3345" w:rsidRPr="0076687D">
              <w:rPr>
                <w:rFonts w:ascii="Arial Narrow" w:hAnsi="Arial Narrow"/>
                <w:sz w:val="20"/>
                <w:szCs w:val="20"/>
                <w:highlight w:val="yellow"/>
              </w:rPr>
              <w:t>,</w:t>
            </w:r>
            <w:r w:rsidR="00CF009B" w:rsidRPr="0076687D">
              <w:rPr>
                <w:rFonts w:ascii="Arial Narrow" w:hAnsi="Arial Narrow"/>
                <w:sz w:val="20"/>
                <w:szCs w:val="20"/>
                <w:highlight w:val="yellow"/>
              </w:rPr>
              <w:t xml:space="preserve"> and i</w:t>
            </w:r>
            <w:r w:rsidR="00A67DF8" w:rsidRPr="0076687D">
              <w:rPr>
                <w:rFonts w:ascii="Arial Narrow" w:hAnsi="Arial Narrow"/>
                <w:sz w:val="20"/>
                <w:szCs w:val="20"/>
                <w:highlight w:val="yellow"/>
              </w:rPr>
              <w:t xml:space="preserve">t </w:t>
            </w:r>
            <w:r w:rsidRPr="0076687D">
              <w:rPr>
                <w:rFonts w:ascii="Arial Narrow" w:hAnsi="Arial Narrow"/>
                <w:sz w:val="20"/>
                <w:szCs w:val="20"/>
                <w:highlight w:val="yellow"/>
              </w:rPr>
              <w:t xml:space="preserve">expands participation criteria, defines opt-out procedures, and automatically enrolls participants from certain U.S. military </w:t>
            </w:r>
            <w:r w:rsidR="00CC0A49" w:rsidRPr="0076687D">
              <w:rPr>
                <w:rFonts w:ascii="Arial Narrow" w:hAnsi="Arial Narrow"/>
                <w:sz w:val="20"/>
                <w:szCs w:val="20"/>
                <w:highlight w:val="yellow"/>
              </w:rPr>
              <w:t xml:space="preserve">OCONUS deployment </w:t>
            </w:r>
            <w:r w:rsidRPr="0076687D">
              <w:rPr>
                <w:rFonts w:ascii="Arial Narrow" w:hAnsi="Arial Narrow"/>
                <w:sz w:val="20"/>
                <w:szCs w:val="20"/>
                <w:highlight w:val="yellow"/>
              </w:rPr>
              <w:t xml:space="preserve">operations and campaigns from 1990 to </w:t>
            </w:r>
            <w:r w:rsidR="00CC0A49" w:rsidRPr="0076687D">
              <w:rPr>
                <w:rFonts w:ascii="Arial Narrow" w:hAnsi="Arial Narrow"/>
                <w:sz w:val="20"/>
                <w:szCs w:val="20"/>
                <w:highlight w:val="yellow"/>
              </w:rPr>
              <w:t xml:space="preserve">the </w:t>
            </w:r>
            <w:r w:rsidRPr="0076687D">
              <w:rPr>
                <w:rFonts w:ascii="Arial Narrow" w:hAnsi="Arial Narrow"/>
                <w:sz w:val="20"/>
                <w:szCs w:val="20"/>
                <w:highlight w:val="yellow"/>
              </w:rPr>
              <w:t xml:space="preserve">present as directed by </w:t>
            </w:r>
            <w:r w:rsidR="00CC0A49" w:rsidRPr="0076687D">
              <w:rPr>
                <w:rFonts w:ascii="Arial Narrow" w:hAnsi="Arial Narrow"/>
                <w:sz w:val="20"/>
                <w:szCs w:val="20"/>
                <w:highlight w:val="yellow"/>
              </w:rPr>
              <w:t xml:space="preserve">Congressional </w:t>
            </w:r>
            <w:r w:rsidRPr="0076687D">
              <w:rPr>
                <w:rFonts w:ascii="Arial Narrow" w:hAnsi="Arial Narrow"/>
                <w:sz w:val="20"/>
                <w:szCs w:val="20"/>
                <w:highlight w:val="yellow"/>
              </w:rPr>
              <w:t>legislation.</w:t>
            </w:r>
            <w:r w:rsidR="00A34B33" w:rsidRPr="0076687D">
              <w:rPr>
                <w:rFonts w:ascii="Arial Narrow" w:hAnsi="Arial Narrow"/>
                <w:sz w:val="20"/>
                <w:szCs w:val="20"/>
                <w:highlight w:val="yellow"/>
              </w:rPr>
              <w:t xml:space="preserve"> (See section </w:t>
            </w:r>
            <w:r w:rsidR="00994F37" w:rsidRPr="0076687D">
              <w:rPr>
                <w:rFonts w:ascii="Arial Narrow" w:hAnsi="Arial Narrow"/>
                <w:sz w:val="20"/>
                <w:szCs w:val="20"/>
                <w:highlight w:val="yellow"/>
              </w:rPr>
              <w:t>2.2</w:t>
            </w:r>
            <w:r w:rsidR="0025428C" w:rsidRPr="0076687D">
              <w:rPr>
                <w:rFonts w:ascii="Arial Narrow" w:hAnsi="Arial Narrow"/>
                <w:sz w:val="20"/>
                <w:szCs w:val="20"/>
                <w:highlight w:val="yellow"/>
              </w:rPr>
              <w:t xml:space="preserve"> </w:t>
            </w:r>
            <w:r w:rsidR="00061BE2" w:rsidRPr="0076687D">
              <w:rPr>
                <w:rFonts w:ascii="Arial Narrow" w:hAnsi="Arial Narrow"/>
                <w:sz w:val="20"/>
                <w:szCs w:val="20"/>
                <w:highlight w:val="yellow"/>
              </w:rPr>
              <w:t>for further details.)</w:t>
            </w:r>
            <w:commentRangeEnd w:id="6"/>
            <w:r w:rsidR="00994F37" w:rsidRPr="0076687D">
              <w:rPr>
                <w:rStyle w:val="CommentReference"/>
                <w:highlight w:val="yellow"/>
              </w:rPr>
              <w:commentReference w:id="6"/>
            </w:r>
          </w:p>
        </w:tc>
      </w:tr>
    </w:tbl>
    <w:p w14:paraId="231E7DFE" w14:textId="77777777" w:rsidR="000C4BC9" w:rsidRPr="00F83550" w:rsidRDefault="000C4BC9" w:rsidP="0051520C">
      <w:pPr>
        <w:rPr>
          <w:highlight w:val="yellow"/>
        </w:rPr>
      </w:pPr>
      <w:r w:rsidRPr="00F83550">
        <w:rPr>
          <w:highlight w:val="yellow"/>
        </w:rPr>
        <w:lastRenderedPageBreak/>
        <w:br w:type="page"/>
      </w:r>
    </w:p>
    <w:p w14:paraId="258CB90E" w14:textId="2E2311EC" w:rsidR="00D815E2" w:rsidRPr="00D815E2" w:rsidRDefault="000765FE" w:rsidP="0051520C">
      <w:commentRangeStart w:id="7"/>
      <w:r w:rsidRPr="00F83550">
        <w:lastRenderedPageBreak/>
        <w:t>Table</w:t>
      </w:r>
      <w:commentRangeEnd w:id="7"/>
      <w:r w:rsidR="00881B0B">
        <w:rPr>
          <w:rStyle w:val="CommentReference"/>
        </w:rPr>
        <w:commentReference w:id="7"/>
      </w:r>
      <w:r w:rsidRPr="00F83550">
        <w:t xml:space="preserve"> </w:t>
      </w:r>
      <w:commentRangeStart w:id="8"/>
      <w:r w:rsidRPr="00F83550">
        <w:t>2</w:t>
      </w:r>
      <w:commentRangeEnd w:id="8"/>
      <w:r w:rsidR="00AC71C5">
        <w:rPr>
          <w:rStyle w:val="CommentReference"/>
        </w:rPr>
        <w:commentReference w:id="8"/>
      </w:r>
      <w:r w:rsidR="002C6D14">
        <w:t xml:space="preserve">. </w:t>
      </w:r>
      <w:r w:rsidR="00FA6187" w:rsidRPr="00F83550">
        <w:t xml:space="preserve">Population-Based </w:t>
      </w:r>
      <w:r w:rsidR="009630F5" w:rsidRPr="00F83550">
        <w:t>Health Risk Estimate</w:t>
      </w:r>
      <w:r w:rsidR="00FA6187" w:rsidRPr="00F83550">
        <w:t>s</w:t>
      </w:r>
      <w:r w:rsidR="002D402D" w:rsidRPr="00F83550">
        <w:t xml:space="preserve"> </w:t>
      </w:r>
      <w:r w:rsidR="00F54165">
        <w:t>–</w:t>
      </w:r>
      <w:r w:rsidR="002D402D" w:rsidRPr="00F83550">
        <w:t xml:space="preserve"> </w:t>
      </w:r>
      <w:r w:rsidR="001A55D0" w:rsidRPr="00597B54">
        <w:rPr>
          <w:highlight w:val="green"/>
        </w:rPr>
        <w:t>Camp XXX, Country</w:t>
      </w:r>
      <w:r w:rsidR="001A55D0" w:rsidRPr="00F83550">
        <w:rPr>
          <w:vertAlign w:val="superscript"/>
        </w:rPr>
        <w:t xml:space="preserve"> </w:t>
      </w:r>
      <w:r w:rsidR="00AF0644">
        <w:t xml:space="preserve">(References </w:t>
      </w:r>
      <w:r w:rsidR="00F742F7" w:rsidRPr="009A0A71">
        <w:t>1</w:t>
      </w:r>
      <w:r w:rsidR="00476E2B" w:rsidRPr="009A0A71">
        <w:t>, 2</w:t>
      </w:r>
      <w:r w:rsidR="00AF0644">
        <w: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813"/>
        <w:gridCol w:w="2520"/>
        <w:gridCol w:w="3150"/>
      </w:tblGrid>
      <w:tr w:rsidR="00D815E2" w:rsidRPr="00B16053" w14:paraId="6400190F" w14:textId="77777777" w:rsidTr="18E03C30">
        <w:trPr>
          <w:tblHeader/>
        </w:trPr>
        <w:tc>
          <w:tcPr>
            <w:tcW w:w="1687" w:type="dxa"/>
            <w:tcBorders>
              <w:left w:val="single" w:sz="4" w:space="0" w:color="auto"/>
              <w:bottom w:val="single" w:sz="4" w:space="0" w:color="auto"/>
              <w:right w:val="single" w:sz="4" w:space="0" w:color="auto"/>
            </w:tcBorders>
            <w:shd w:val="clear" w:color="auto" w:fill="BFBFBF" w:themeFill="background1" w:themeFillShade="BF"/>
            <w:vAlign w:val="center"/>
          </w:tcPr>
          <w:p w14:paraId="22A41E90" w14:textId="77777777" w:rsidR="00D815E2" w:rsidRPr="008D04AD" w:rsidRDefault="00D815E2" w:rsidP="0051520C">
            <w:pPr>
              <w:rPr>
                <w:b/>
                <w:bCs/>
                <w:sz w:val="20"/>
                <w:szCs w:val="20"/>
              </w:rPr>
            </w:pPr>
            <w:r w:rsidRPr="008D04AD">
              <w:rPr>
                <w:b/>
                <w:bCs/>
                <w:sz w:val="20"/>
                <w:szCs w:val="20"/>
              </w:rPr>
              <w:t>Source of Identified Health Risk</w:t>
            </w:r>
            <w:r w:rsidRPr="008D04AD">
              <w:rPr>
                <w:b/>
                <w:bCs/>
                <w:sz w:val="20"/>
                <w:szCs w:val="20"/>
                <w:vertAlign w:val="superscript"/>
              </w:rPr>
              <w:t>3</w:t>
            </w:r>
          </w:p>
        </w:tc>
        <w:tc>
          <w:tcPr>
            <w:tcW w:w="2813" w:type="dxa"/>
            <w:tcBorders>
              <w:left w:val="single" w:sz="4" w:space="0" w:color="auto"/>
              <w:bottom w:val="single" w:sz="4" w:space="0" w:color="auto"/>
              <w:right w:val="single" w:sz="4" w:space="0" w:color="auto"/>
            </w:tcBorders>
            <w:shd w:val="clear" w:color="auto" w:fill="BFBFBF" w:themeFill="background1" w:themeFillShade="BF"/>
            <w:vAlign w:val="center"/>
          </w:tcPr>
          <w:p w14:paraId="0D3530F0" w14:textId="77777777" w:rsidR="00D815E2" w:rsidRPr="008D04AD" w:rsidRDefault="00D815E2" w:rsidP="0051520C">
            <w:pPr>
              <w:rPr>
                <w:b/>
                <w:bCs/>
                <w:sz w:val="20"/>
                <w:szCs w:val="20"/>
              </w:rPr>
            </w:pPr>
            <w:r w:rsidRPr="008D04AD">
              <w:rPr>
                <w:b/>
                <w:bCs/>
                <w:sz w:val="20"/>
                <w:szCs w:val="20"/>
              </w:rPr>
              <w:t>Unmitigated Health Risk Estimate</w:t>
            </w:r>
            <w:r w:rsidRPr="008D04AD">
              <w:rPr>
                <w:b/>
                <w:bCs/>
                <w:sz w:val="20"/>
                <w:szCs w:val="20"/>
                <w:vertAlign w:val="superscript"/>
              </w:rPr>
              <w:t>4</w:t>
            </w:r>
          </w:p>
        </w:tc>
        <w:tc>
          <w:tcPr>
            <w:tcW w:w="2520" w:type="dxa"/>
            <w:tcBorders>
              <w:left w:val="single" w:sz="4" w:space="0" w:color="auto"/>
              <w:bottom w:val="single" w:sz="4" w:space="0" w:color="auto"/>
              <w:right w:val="single" w:sz="4" w:space="0" w:color="auto"/>
            </w:tcBorders>
            <w:shd w:val="clear" w:color="auto" w:fill="BFBFBF" w:themeFill="background1" w:themeFillShade="BF"/>
            <w:vAlign w:val="center"/>
          </w:tcPr>
          <w:p w14:paraId="4CA32A9F" w14:textId="77777777" w:rsidR="00D815E2" w:rsidRPr="008D04AD" w:rsidRDefault="00D815E2" w:rsidP="0051520C">
            <w:pPr>
              <w:rPr>
                <w:b/>
                <w:bCs/>
                <w:sz w:val="20"/>
                <w:szCs w:val="20"/>
              </w:rPr>
            </w:pPr>
            <w:commentRangeStart w:id="9"/>
            <w:r w:rsidRPr="008D04AD">
              <w:rPr>
                <w:b/>
                <w:bCs/>
                <w:sz w:val="20"/>
                <w:szCs w:val="20"/>
              </w:rPr>
              <w:t>Control Measures Implemented</w:t>
            </w:r>
            <w:commentRangeEnd w:id="9"/>
            <w:r w:rsidRPr="008D04AD">
              <w:rPr>
                <w:rStyle w:val="CommentReference"/>
                <w:b/>
                <w:bCs/>
              </w:rPr>
              <w:commentReference w:id="9"/>
            </w:r>
          </w:p>
        </w:tc>
        <w:tc>
          <w:tcPr>
            <w:tcW w:w="3150" w:type="dxa"/>
            <w:tcBorders>
              <w:left w:val="single" w:sz="4" w:space="0" w:color="auto"/>
              <w:bottom w:val="single" w:sz="4" w:space="0" w:color="auto"/>
              <w:right w:val="single" w:sz="4" w:space="0" w:color="auto"/>
            </w:tcBorders>
            <w:shd w:val="clear" w:color="auto" w:fill="BFBFBF" w:themeFill="background1" w:themeFillShade="BF"/>
            <w:vAlign w:val="center"/>
          </w:tcPr>
          <w:p w14:paraId="2AA701E3" w14:textId="73E991F8" w:rsidR="00D815E2" w:rsidRPr="008D04AD" w:rsidRDefault="00D815E2" w:rsidP="0051520C">
            <w:pPr>
              <w:rPr>
                <w:b/>
                <w:bCs/>
                <w:sz w:val="20"/>
                <w:szCs w:val="20"/>
                <w:vertAlign w:val="superscript"/>
              </w:rPr>
            </w:pPr>
            <w:r w:rsidRPr="008D04AD">
              <w:rPr>
                <w:b/>
                <w:bCs/>
                <w:sz w:val="20"/>
                <w:szCs w:val="20"/>
              </w:rPr>
              <w:t>Residual Health Risk Estimate</w:t>
            </w:r>
            <w:r w:rsidRPr="008D04AD">
              <w:rPr>
                <w:b/>
                <w:bCs/>
                <w:sz w:val="20"/>
                <w:szCs w:val="20"/>
                <w:vertAlign w:val="superscript"/>
              </w:rPr>
              <w:t>4</w:t>
            </w:r>
            <w:r w:rsidR="017DA18D" w:rsidRPr="008D04AD">
              <w:rPr>
                <w:b/>
                <w:bCs/>
                <w:sz w:val="20"/>
                <w:szCs w:val="20"/>
                <w:vertAlign w:val="superscript"/>
              </w:rPr>
              <w:t>,5</w:t>
            </w:r>
          </w:p>
        </w:tc>
      </w:tr>
      <w:tr w:rsidR="00EB48CD" w:rsidRPr="00B16053" w14:paraId="7B9993D7" w14:textId="77777777" w:rsidTr="18E03C30">
        <w:trPr>
          <w:trHeight w:val="317"/>
        </w:trPr>
        <w:tc>
          <w:tcPr>
            <w:tcW w:w="10170" w:type="dxa"/>
            <w:gridSpan w:val="4"/>
            <w:tcBorders>
              <w:left w:val="single" w:sz="4" w:space="0" w:color="auto"/>
              <w:right w:val="single" w:sz="4" w:space="0" w:color="auto"/>
            </w:tcBorders>
            <w:shd w:val="clear" w:color="auto" w:fill="D9D9D9" w:themeFill="background1" w:themeFillShade="D9"/>
            <w:vAlign w:val="center"/>
          </w:tcPr>
          <w:p w14:paraId="6800A3D2" w14:textId="6B728147" w:rsidR="00EB48CD" w:rsidRPr="00B16053" w:rsidRDefault="00EB48CD" w:rsidP="0051520C">
            <w:pPr>
              <w:rPr>
                <w:sz w:val="20"/>
                <w:szCs w:val="20"/>
              </w:rPr>
            </w:pPr>
            <w:r w:rsidRPr="00B16053">
              <w:rPr>
                <w:sz w:val="20"/>
                <w:szCs w:val="20"/>
              </w:rPr>
              <w:t>AIR</w:t>
            </w:r>
          </w:p>
        </w:tc>
      </w:tr>
      <w:tr w:rsidR="00D815E2" w:rsidRPr="00B16053" w14:paraId="150DD462" w14:textId="77777777" w:rsidTr="18E03C30">
        <w:trPr>
          <w:trHeight w:val="2330"/>
        </w:trPr>
        <w:tc>
          <w:tcPr>
            <w:tcW w:w="1687" w:type="dxa"/>
            <w:vMerge w:val="restart"/>
            <w:tcBorders>
              <w:left w:val="single" w:sz="4" w:space="0" w:color="auto"/>
              <w:right w:val="single" w:sz="4" w:space="0" w:color="auto"/>
            </w:tcBorders>
            <w:shd w:val="clear" w:color="auto" w:fill="auto"/>
            <w:vAlign w:val="center"/>
          </w:tcPr>
          <w:p w14:paraId="4DC9962A" w14:textId="77777777" w:rsidR="00D815E2" w:rsidRPr="00B16053" w:rsidRDefault="00D815E2" w:rsidP="0051520C">
            <w:pPr>
              <w:rPr>
                <w:color w:val="000000"/>
                <w:sz w:val="20"/>
                <w:szCs w:val="20"/>
              </w:rPr>
            </w:pPr>
            <w:commentRangeStart w:id="10"/>
            <w:r w:rsidRPr="00B16053">
              <w:rPr>
                <w:sz w:val="20"/>
                <w:szCs w:val="20"/>
              </w:rPr>
              <w:t>Particulate</w:t>
            </w:r>
            <w:commentRangeEnd w:id="10"/>
            <w:r w:rsidR="00467021">
              <w:rPr>
                <w:rStyle w:val="CommentReference"/>
              </w:rPr>
              <w:commentReference w:id="10"/>
            </w:r>
            <w:r w:rsidRPr="00B16053">
              <w:rPr>
                <w:sz w:val="20"/>
                <w:szCs w:val="20"/>
              </w:rPr>
              <w:t xml:space="preserve"> matter less than 10 </w:t>
            </w:r>
            <w:r w:rsidRPr="00B16053">
              <w:rPr>
                <w:color w:val="000000"/>
                <w:sz w:val="20"/>
                <w:szCs w:val="20"/>
              </w:rPr>
              <w:t>micrometers</w:t>
            </w:r>
            <w:r w:rsidRPr="00B16053">
              <w:rPr>
                <w:sz w:val="20"/>
                <w:szCs w:val="20"/>
              </w:rPr>
              <w:t xml:space="preserve"> in diameter (PM</w:t>
            </w:r>
            <w:r w:rsidRPr="00B16053">
              <w:rPr>
                <w:rStyle w:val="StyleSubscript"/>
                <w:sz w:val="20"/>
                <w:szCs w:val="20"/>
              </w:rPr>
              <w:t>10</w:t>
            </w:r>
            <w:r w:rsidRPr="00B16053">
              <w:rPr>
                <w:sz w:val="20"/>
                <w:szCs w:val="20"/>
              </w:rPr>
              <w:t>)</w:t>
            </w:r>
          </w:p>
        </w:tc>
        <w:tc>
          <w:tcPr>
            <w:tcW w:w="2813" w:type="dxa"/>
            <w:tcBorders>
              <w:left w:val="single" w:sz="4" w:space="0" w:color="auto"/>
              <w:bottom w:val="single" w:sz="4" w:space="0" w:color="auto"/>
              <w:right w:val="single" w:sz="4" w:space="0" w:color="auto"/>
            </w:tcBorders>
            <w:shd w:val="clear" w:color="auto" w:fill="auto"/>
            <w:vAlign w:val="center"/>
          </w:tcPr>
          <w:p w14:paraId="4992BB39" w14:textId="4428FACC" w:rsidR="00D815E2" w:rsidRPr="00B16053" w:rsidRDefault="00D815E2" w:rsidP="0051520C">
            <w:pPr>
              <w:rPr>
                <w:color w:val="000000"/>
                <w:sz w:val="20"/>
                <w:szCs w:val="20"/>
              </w:rPr>
            </w:pPr>
            <w:r w:rsidRPr="00B16053">
              <w:rPr>
                <w:color w:val="000000"/>
                <w:sz w:val="20"/>
                <w:szCs w:val="20"/>
              </w:rPr>
              <w:t xml:space="preserve">Short-term: </w:t>
            </w:r>
            <w:commentRangeStart w:id="11"/>
            <w:r w:rsidRPr="00B16053">
              <w:rPr>
                <w:color w:val="000000"/>
                <w:sz w:val="20"/>
                <w:szCs w:val="20"/>
                <w:highlight w:val="yellow"/>
              </w:rPr>
              <w:t>Low</w:t>
            </w:r>
            <w:commentRangeEnd w:id="11"/>
            <w:r w:rsidR="00467021">
              <w:rPr>
                <w:rStyle w:val="CommentReference"/>
              </w:rPr>
              <w:commentReference w:id="11"/>
            </w:r>
            <w:r w:rsidRPr="00B16053">
              <w:rPr>
                <w:color w:val="000000"/>
                <w:sz w:val="20"/>
                <w:szCs w:val="20"/>
              </w:rPr>
              <w:t xml:space="preserve">. </w:t>
            </w:r>
            <w:proofErr w:type="gramStart"/>
            <w:r w:rsidRPr="00B16053">
              <w:rPr>
                <w:sz w:val="20"/>
                <w:szCs w:val="20"/>
                <w:highlight w:val="yellow"/>
              </w:rPr>
              <w:t>A majority of</w:t>
            </w:r>
            <w:proofErr w:type="gramEnd"/>
            <w:r w:rsidRPr="00B16053">
              <w:rPr>
                <w:sz w:val="20"/>
                <w:szCs w:val="20"/>
                <w:highlight w:val="yellow"/>
              </w:rPr>
              <w:t xml:space="preserve"> the time mild acute (short term) health effects are anticipated; certain peak levels may produce mild eye, nose, or throat irritation in some personnel and pre-existing health conditions (e.g., asthma, or cardiopulmonary diseases) may be exacerbated.</w:t>
            </w:r>
          </w:p>
        </w:tc>
        <w:tc>
          <w:tcPr>
            <w:tcW w:w="2520" w:type="dxa"/>
            <w:vMerge w:val="restart"/>
            <w:tcBorders>
              <w:left w:val="single" w:sz="4" w:space="0" w:color="auto"/>
              <w:right w:val="single" w:sz="4" w:space="0" w:color="auto"/>
            </w:tcBorders>
            <w:vAlign w:val="center"/>
          </w:tcPr>
          <w:p w14:paraId="1D255E1D" w14:textId="77777777" w:rsidR="00D815E2" w:rsidRPr="00B16053" w:rsidRDefault="00D815E2" w:rsidP="0051520C">
            <w:pPr>
              <w:rPr>
                <w:color w:val="000000"/>
                <w:sz w:val="20"/>
                <w:szCs w:val="20"/>
              </w:rPr>
            </w:pPr>
            <w:r w:rsidRPr="00B16053">
              <w:rPr>
                <w:sz w:val="20"/>
                <w:szCs w:val="20"/>
              </w:rPr>
              <w:t>Limiting strenuous physical activities during periods of high PM levels; and actions such as closing tent flaps, windows, and doors.</w:t>
            </w:r>
          </w:p>
        </w:tc>
        <w:tc>
          <w:tcPr>
            <w:tcW w:w="3150" w:type="dxa"/>
            <w:tcBorders>
              <w:left w:val="single" w:sz="4" w:space="0" w:color="auto"/>
              <w:bottom w:val="single" w:sz="4" w:space="0" w:color="auto"/>
              <w:right w:val="single" w:sz="4" w:space="0" w:color="auto"/>
            </w:tcBorders>
            <w:shd w:val="clear" w:color="auto" w:fill="auto"/>
            <w:vAlign w:val="center"/>
          </w:tcPr>
          <w:p w14:paraId="3D98414C" w14:textId="3DCD91CD" w:rsidR="00D815E2" w:rsidRPr="00B16053" w:rsidRDefault="00D815E2" w:rsidP="0051520C">
            <w:pPr>
              <w:rPr>
                <w:color w:val="000000"/>
                <w:sz w:val="20"/>
                <w:szCs w:val="20"/>
              </w:rPr>
            </w:pPr>
            <w:r w:rsidRPr="00B16053">
              <w:rPr>
                <w:color w:val="000000"/>
                <w:sz w:val="20"/>
                <w:szCs w:val="20"/>
              </w:rPr>
              <w:t xml:space="preserve">Short-term: </w:t>
            </w:r>
            <w:r w:rsidRPr="00B16053">
              <w:rPr>
                <w:color w:val="000000"/>
                <w:sz w:val="20"/>
                <w:szCs w:val="20"/>
                <w:highlight w:val="yellow"/>
              </w:rPr>
              <w:t>Low</w:t>
            </w:r>
            <w:r w:rsidRPr="00B16053">
              <w:rPr>
                <w:color w:val="000000"/>
                <w:sz w:val="20"/>
                <w:szCs w:val="20"/>
              </w:rPr>
              <w:t xml:space="preserve">. </w:t>
            </w:r>
            <w:proofErr w:type="gramStart"/>
            <w:r w:rsidRPr="00B16053">
              <w:rPr>
                <w:sz w:val="20"/>
                <w:szCs w:val="20"/>
                <w:highlight w:val="yellow"/>
              </w:rPr>
              <w:t>A majority of</w:t>
            </w:r>
            <w:proofErr w:type="gramEnd"/>
            <w:r w:rsidRPr="00B16053">
              <w:rPr>
                <w:sz w:val="20"/>
                <w:szCs w:val="20"/>
                <w:highlight w:val="yellow"/>
              </w:rPr>
              <w:t xml:space="preserve"> the time mild acute (short term) health effects are anticipated; certain peak levels may produce mild eye, nose, or throat irritation in some personnel and pre-existing health conditions (e.g., asthma, or cardiopulmonary diseases) may be exacerbated.</w:t>
            </w:r>
          </w:p>
        </w:tc>
      </w:tr>
      <w:tr w:rsidR="00D815E2" w:rsidRPr="00B16053" w14:paraId="4C6D59FE" w14:textId="77777777" w:rsidTr="18E03C30">
        <w:trPr>
          <w:trHeight w:val="432"/>
        </w:trPr>
        <w:tc>
          <w:tcPr>
            <w:tcW w:w="1687" w:type="dxa"/>
            <w:vMerge/>
            <w:vAlign w:val="center"/>
          </w:tcPr>
          <w:p w14:paraId="4E9969ED" w14:textId="77777777" w:rsidR="00D815E2" w:rsidRPr="00B16053" w:rsidRDefault="00D815E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6E817705" w14:textId="42A4A21C" w:rsidR="00D815E2" w:rsidRPr="00B16053" w:rsidRDefault="00D815E2" w:rsidP="0051520C">
            <w:pPr>
              <w:rPr>
                <w:sz w:val="20"/>
                <w:szCs w:val="20"/>
              </w:rPr>
            </w:pPr>
            <w:r w:rsidRPr="00B16053">
              <w:rPr>
                <w:sz w:val="20"/>
                <w:szCs w:val="20"/>
              </w:rPr>
              <w:t>Long-term: No health guidelines</w:t>
            </w:r>
          </w:p>
        </w:tc>
        <w:tc>
          <w:tcPr>
            <w:tcW w:w="2520" w:type="dxa"/>
            <w:vMerge/>
            <w:vAlign w:val="center"/>
          </w:tcPr>
          <w:p w14:paraId="77BFF76B" w14:textId="77777777" w:rsidR="00D815E2" w:rsidRPr="00B16053" w:rsidRDefault="00D815E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1A83C6C6" w14:textId="5C6CE9A8" w:rsidR="00D815E2" w:rsidRPr="00B16053" w:rsidRDefault="00D815E2" w:rsidP="0051520C">
            <w:pPr>
              <w:rPr>
                <w:sz w:val="20"/>
                <w:szCs w:val="20"/>
              </w:rPr>
            </w:pPr>
            <w:r w:rsidRPr="00B16053">
              <w:rPr>
                <w:sz w:val="20"/>
                <w:szCs w:val="20"/>
              </w:rPr>
              <w:t>Long-term: No health guidelines</w:t>
            </w:r>
          </w:p>
        </w:tc>
      </w:tr>
      <w:tr w:rsidR="00D815E2" w:rsidRPr="00B16053" w14:paraId="7819D9D5" w14:textId="77777777" w:rsidTr="18E03C30">
        <w:trPr>
          <w:trHeight w:val="2420"/>
        </w:trPr>
        <w:tc>
          <w:tcPr>
            <w:tcW w:w="1687" w:type="dxa"/>
            <w:vMerge w:val="restart"/>
            <w:tcBorders>
              <w:left w:val="single" w:sz="4" w:space="0" w:color="auto"/>
              <w:right w:val="single" w:sz="4" w:space="0" w:color="auto"/>
            </w:tcBorders>
            <w:shd w:val="clear" w:color="auto" w:fill="auto"/>
            <w:vAlign w:val="center"/>
          </w:tcPr>
          <w:p w14:paraId="1A224ABB" w14:textId="77777777" w:rsidR="00D815E2" w:rsidRPr="00B16053" w:rsidRDefault="00D815E2" w:rsidP="0051520C">
            <w:pPr>
              <w:rPr>
                <w:sz w:val="20"/>
                <w:szCs w:val="20"/>
              </w:rPr>
            </w:pPr>
            <w:bookmarkStart w:id="12" w:name="_Hlk129677676"/>
            <w:r w:rsidRPr="00B16053">
              <w:rPr>
                <w:sz w:val="20"/>
                <w:szCs w:val="20"/>
              </w:rPr>
              <w:t>Particulate matter less than 2.5 micrometers in diameter (PM</w:t>
            </w:r>
            <w:r w:rsidRPr="00B16053">
              <w:rPr>
                <w:rStyle w:val="StyleSubscript"/>
                <w:sz w:val="20"/>
                <w:szCs w:val="20"/>
              </w:rPr>
              <w:t>2.5</w:t>
            </w:r>
            <w:r w:rsidRPr="00B16053">
              <w:rPr>
                <w:sz w:val="20"/>
                <w:szCs w:val="20"/>
              </w:rPr>
              <w:t>)</w:t>
            </w:r>
            <w:bookmarkEnd w:id="12"/>
          </w:p>
        </w:tc>
        <w:tc>
          <w:tcPr>
            <w:tcW w:w="2813" w:type="dxa"/>
            <w:tcBorders>
              <w:left w:val="single" w:sz="4" w:space="0" w:color="auto"/>
              <w:bottom w:val="single" w:sz="4" w:space="0" w:color="auto"/>
              <w:right w:val="single" w:sz="4" w:space="0" w:color="auto"/>
            </w:tcBorders>
            <w:shd w:val="clear" w:color="auto" w:fill="auto"/>
            <w:vAlign w:val="center"/>
          </w:tcPr>
          <w:p w14:paraId="3099992A" w14:textId="76A578B2" w:rsidR="00D815E2" w:rsidRPr="00B16053" w:rsidRDefault="00D815E2" w:rsidP="0051520C">
            <w:pPr>
              <w:rPr>
                <w:sz w:val="20"/>
                <w:szCs w:val="20"/>
              </w:rPr>
            </w:pPr>
            <w:r w:rsidRPr="00B16053">
              <w:rPr>
                <w:sz w:val="20"/>
                <w:szCs w:val="20"/>
              </w:rPr>
              <w:t xml:space="preserve">Short-term: </w:t>
            </w:r>
            <w:r w:rsidRPr="00B16053">
              <w:rPr>
                <w:sz w:val="20"/>
                <w:szCs w:val="20"/>
                <w:highlight w:val="yellow"/>
              </w:rPr>
              <w:t>Low to High</w:t>
            </w:r>
            <w:r w:rsidRPr="00B16053">
              <w:rPr>
                <w:sz w:val="20"/>
                <w:szCs w:val="20"/>
              </w:rPr>
              <w:t xml:space="preserve">. </w:t>
            </w:r>
          </w:p>
          <w:p w14:paraId="0F95A0B3" w14:textId="77777777" w:rsidR="00D815E2" w:rsidRPr="00B16053" w:rsidRDefault="00D815E2" w:rsidP="0051520C">
            <w:pPr>
              <w:rPr>
                <w:sz w:val="20"/>
                <w:szCs w:val="20"/>
              </w:rPr>
            </w:pPr>
            <w:r w:rsidRPr="00B16053">
              <w:rPr>
                <w:sz w:val="20"/>
                <w:szCs w:val="20"/>
                <w:highlight w:val="yellow"/>
              </w:rPr>
              <w:t xml:space="preserve">Daily levels vary; acute health effects (e.g., upper respiratory tract irritation) may be more pronounced during days with elevated PM levels. </w:t>
            </w:r>
            <w:proofErr w:type="gramStart"/>
            <w:r w:rsidRPr="00B16053">
              <w:rPr>
                <w:sz w:val="20"/>
                <w:szCs w:val="20"/>
                <w:highlight w:val="yellow"/>
              </w:rPr>
              <w:t>A majority of</w:t>
            </w:r>
            <w:proofErr w:type="gramEnd"/>
            <w:r w:rsidRPr="00B16053">
              <w:rPr>
                <w:sz w:val="20"/>
                <w:szCs w:val="20"/>
                <w:highlight w:val="yellow"/>
              </w:rPr>
              <w:t xml:space="preserve"> the time mild acute (short-term) health effects are anticipated; certain peak levels may produce notable eye, nose, or throat irritation in some personnel and pre-existing health conditions (e.g., asthma or cardiopulmonary diseases) may be exacerbated.</w:t>
            </w:r>
          </w:p>
        </w:tc>
        <w:tc>
          <w:tcPr>
            <w:tcW w:w="2520" w:type="dxa"/>
            <w:vMerge w:val="restart"/>
            <w:tcBorders>
              <w:left w:val="single" w:sz="4" w:space="0" w:color="auto"/>
              <w:right w:val="single" w:sz="4" w:space="0" w:color="auto"/>
            </w:tcBorders>
            <w:vAlign w:val="center"/>
          </w:tcPr>
          <w:p w14:paraId="7A42AE98" w14:textId="49A170C1" w:rsidR="00D815E2" w:rsidRPr="00B16053" w:rsidRDefault="00D815E2" w:rsidP="0051520C">
            <w:pPr>
              <w:rPr>
                <w:color w:val="000000"/>
                <w:sz w:val="20"/>
                <w:szCs w:val="20"/>
              </w:rPr>
            </w:pPr>
            <w:r w:rsidRPr="67E4755C">
              <w:rPr>
                <w:sz w:val="20"/>
                <w:szCs w:val="20"/>
              </w:rPr>
              <w:t>Limiting strenuous physical activities during periods of high PM levels, and actions such as closing tent flaps, windows, and doors.</w:t>
            </w:r>
            <w:r w:rsidR="00580B36">
              <w:rPr>
                <w:sz w:val="20"/>
                <w:szCs w:val="20"/>
              </w:rPr>
              <w:t xml:space="preserve"> </w:t>
            </w:r>
            <w:r w:rsidR="00580B36" w:rsidRPr="00580B36">
              <w:rPr>
                <w:color w:val="0070C0"/>
                <w:sz w:val="20"/>
                <w:szCs w:val="20"/>
              </w:rPr>
              <w:t>[Other controls may include things like dust suppression for unpaved roads]</w:t>
            </w:r>
          </w:p>
        </w:tc>
        <w:tc>
          <w:tcPr>
            <w:tcW w:w="3150" w:type="dxa"/>
            <w:tcBorders>
              <w:left w:val="single" w:sz="4" w:space="0" w:color="auto"/>
              <w:bottom w:val="single" w:sz="4" w:space="0" w:color="auto"/>
              <w:right w:val="single" w:sz="4" w:space="0" w:color="auto"/>
            </w:tcBorders>
            <w:shd w:val="clear" w:color="auto" w:fill="auto"/>
            <w:vAlign w:val="center"/>
          </w:tcPr>
          <w:p w14:paraId="6B30E691" w14:textId="6C750865" w:rsidR="00D815E2" w:rsidRPr="00B16053" w:rsidRDefault="00D815E2" w:rsidP="0051520C">
            <w:pPr>
              <w:rPr>
                <w:sz w:val="20"/>
                <w:szCs w:val="20"/>
              </w:rPr>
            </w:pPr>
            <w:r w:rsidRPr="00B16053">
              <w:rPr>
                <w:sz w:val="20"/>
                <w:szCs w:val="20"/>
              </w:rPr>
              <w:t xml:space="preserve">Short-term: </w:t>
            </w:r>
            <w:r w:rsidRPr="00B16053">
              <w:rPr>
                <w:sz w:val="20"/>
                <w:szCs w:val="20"/>
                <w:highlight w:val="yellow"/>
              </w:rPr>
              <w:t>Low to High</w:t>
            </w:r>
            <w:r w:rsidRPr="00B16053">
              <w:rPr>
                <w:sz w:val="20"/>
                <w:szCs w:val="20"/>
              </w:rPr>
              <w:t>.</w:t>
            </w:r>
          </w:p>
          <w:p w14:paraId="4E0A3180" w14:textId="77777777" w:rsidR="00D815E2" w:rsidRPr="00B16053" w:rsidRDefault="00D815E2" w:rsidP="0051520C">
            <w:pPr>
              <w:rPr>
                <w:sz w:val="20"/>
                <w:szCs w:val="20"/>
              </w:rPr>
            </w:pPr>
            <w:r w:rsidRPr="00B16053">
              <w:rPr>
                <w:sz w:val="20"/>
                <w:szCs w:val="20"/>
                <w:highlight w:val="yellow"/>
              </w:rPr>
              <w:t xml:space="preserve">Daily levels vary; acute health effects (e.g., upper respiratory tract irritation) may be more pronounced during days with elevated PM levels. </w:t>
            </w:r>
            <w:proofErr w:type="gramStart"/>
            <w:r w:rsidRPr="00B16053">
              <w:rPr>
                <w:sz w:val="20"/>
                <w:szCs w:val="20"/>
                <w:highlight w:val="yellow"/>
              </w:rPr>
              <w:t>A majority of</w:t>
            </w:r>
            <w:proofErr w:type="gramEnd"/>
            <w:r w:rsidRPr="00B16053">
              <w:rPr>
                <w:sz w:val="20"/>
                <w:szCs w:val="20"/>
                <w:highlight w:val="yellow"/>
              </w:rPr>
              <w:t xml:space="preserve"> the time mild acute (short-term) health effects are anticipated; certain peak levels may produce notable eye, nose, or throat irritation in some personnel and pre-existing health conditions (e.g., asthma or cardiopulmonary diseases) may be exacerbated.</w:t>
            </w:r>
          </w:p>
        </w:tc>
      </w:tr>
      <w:tr w:rsidR="00D815E2" w:rsidRPr="00B16053" w14:paraId="767BF3E3" w14:textId="77777777" w:rsidTr="18E03C30">
        <w:trPr>
          <w:trHeight w:val="317"/>
        </w:trPr>
        <w:tc>
          <w:tcPr>
            <w:tcW w:w="1687" w:type="dxa"/>
            <w:vMerge/>
            <w:vAlign w:val="center"/>
          </w:tcPr>
          <w:p w14:paraId="12C6B485" w14:textId="77777777" w:rsidR="00D815E2" w:rsidRPr="00B16053" w:rsidRDefault="00D815E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6C081AC5" w14:textId="70A01ABF" w:rsidR="00D815E2" w:rsidRPr="00B16053" w:rsidRDefault="00D815E2" w:rsidP="0051520C">
            <w:pPr>
              <w:rPr>
                <w:color w:val="000000"/>
                <w:sz w:val="20"/>
                <w:szCs w:val="20"/>
              </w:rPr>
            </w:pPr>
            <w:r w:rsidRPr="00B16053">
              <w:rPr>
                <w:color w:val="000000"/>
                <w:sz w:val="20"/>
                <w:szCs w:val="20"/>
              </w:rPr>
              <w:t xml:space="preserve">Long-term: </w:t>
            </w:r>
            <w:commentRangeStart w:id="13"/>
            <w:r w:rsidRPr="00B16053">
              <w:rPr>
                <w:sz w:val="20"/>
                <w:szCs w:val="20"/>
                <w:highlight w:val="yellow"/>
              </w:rPr>
              <w:t>Low</w:t>
            </w:r>
            <w:commentRangeEnd w:id="13"/>
            <w:r w:rsidRPr="00B16053">
              <w:rPr>
                <w:sz w:val="20"/>
                <w:szCs w:val="20"/>
              </w:rPr>
              <w:commentReference w:id="13"/>
            </w:r>
            <w:r w:rsidRPr="00B16053">
              <w:rPr>
                <w:sz w:val="20"/>
                <w:szCs w:val="20"/>
                <w:highlight w:val="yellow"/>
              </w:rPr>
              <w:t xml:space="preserve"> to Moderate</w:t>
            </w:r>
            <w:r w:rsidRPr="00B16053">
              <w:rPr>
                <w:sz w:val="20"/>
                <w:szCs w:val="20"/>
              </w:rPr>
              <w:t xml:space="preserve">. </w:t>
            </w:r>
          </w:p>
          <w:p w14:paraId="0DF7EA36" w14:textId="72182954" w:rsidR="00D815E2" w:rsidRPr="00B16053" w:rsidRDefault="00D815E2" w:rsidP="0051520C">
            <w:pPr>
              <w:rPr>
                <w:color w:val="000000"/>
                <w:sz w:val="20"/>
                <w:szCs w:val="20"/>
              </w:rPr>
            </w:pPr>
            <w:r w:rsidRPr="00B16053">
              <w:rPr>
                <w:color w:val="000000"/>
                <w:sz w:val="20"/>
                <w:szCs w:val="20"/>
                <w:highlight w:val="yellow"/>
              </w:rPr>
              <w:t xml:space="preserve">A </w:t>
            </w:r>
            <w:r w:rsidRPr="00B16053">
              <w:rPr>
                <w:sz w:val="20"/>
                <w:szCs w:val="20"/>
                <w:highlight w:val="yellow"/>
              </w:rPr>
              <w:t>small percentage of personnel may be at increased risk for developing chronic conditions, particularly those more susceptible to acute effects (e.g., those with asthma</w:t>
            </w:r>
            <w:r w:rsidR="00F70ADB">
              <w:rPr>
                <w:sz w:val="20"/>
                <w:szCs w:val="20"/>
                <w:highlight w:val="yellow"/>
              </w:rPr>
              <w:t xml:space="preserve"> or other pre-</w:t>
            </w:r>
            <w:r w:rsidRPr="00B16053">
              <w:rPr>
                <w:sz w:val="20"/>
                <w:szCs w:val="20"/>
                <w:highlight w:val="yellow"/>
              </w:rPr>
              <w:t>existing respiratory diseases).</w:t>
            </w:r>
          </w:p>
        </w:tc>
        <w:tc>
          <w:tcPr>
            <w:tcW w:w="2520" w:type="dxa"/>
            <w:vMerge/>
            <w:vAlign w:val="center"/>
          </w:tcPr>
          <w:p w14:paraId="7AE0C9CB" w14:textId="77777777" w:rsidR="00D815E2" w:rsidRPr="00B16053" w:rsidRDefault="00D815E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1CAA6915" w14:textId="4351346C" w:rsidR="00D815E2" w:rsidRPr="00B16053" w:rsidRDefault="00D815E2" w:rsidP="0051520C">
            <w:pPr>
              <w:rPr>
                <w:color w:val="000000"/>
                <w:sz w:val="20"/>
                <w:szCs w:val="20"/>
              </w:rPr>
            </w:pPr>
            <w:r w:rsidRPr="00B16053">
              <w:rPr>
                <w:color w:val="000000"/>
                <w:sz w:val="20"/>
                <w:szCs w:val="20"/>
              </w:rPr>
              <w:t xml:space="preserve">Long-term: </w:t>
            </w:r>
            <w:r w:rsidRPr="00B16053">
              <w:rPr>
                <w:sz w:val="20"/>
                <w:szCs w:val="20"/>
                <w:highlight w:val="yellow"/>
              </w:rPr>
              <w:t>Low to Moderate</w:t>
            </w:r>
            <w:r w:rsidRPr="00B16053">
              <w:rPr>
                <w:sz w:val="20"/>
                <w:szCs w:val="20"/>
              </w:rPr>
              <w:t xml:space="preserve">. </w:t>
            </w:r>
          </w:p>
          <w:p w14:paraId="508E19AD" w14:textId="779177F1" w:rsidR="00D815E2" w:rsidRPr="00B16053" w:rsidRDefault="00D815E2" w:rsidP="0051520C">
            <w:pPr>
              <w:rPr>
                <w:color w:val="000000"/>
                <w:sz w:val="20"/>
                <w:szCs w:val="20"/>
              </w:rPr>
            </w:pPr>
            <w:r w:rsidRPr="00B16053">
              <w:rPr>
                <w:color w:val="000000"/>
                <w:sz w:val="20"/>
                <w:szCs w:val="20"/>
                <w:highlight w:val="yellow"/>
              </w:rPr>
              <w:t xml:space="preserve">A </w:t>
            </w:r>
            <w:r w:rsidRPr="00B16053">
              <w:rPr>
                <w:sz w:val="20"/>
                <w:szCs w:val="20"/>
                <w:highlight w:val="yellow"/>
              </w:rPr>
              <w:t>small percentage of personnel may be at increased risk for developing chronic conditions, particularly those more susceptible to acute effects (e.g., those with asthma</w:t>
            </w:r>
            <w:r w:rsidR="00F70ADB">
              <w:rPr>
                <w:sz w:val="20"/>
                <w:szCs w:val="20"/>
                <w:highlight w:val="yellow"/>
              </w:rPr>
              <w:t xml:space="preserve"> or other pre-</w:t>
            </w:r>
            <w:r w:rsidRPr="00B16053">
              <w:rPr>
                <w:sz w:val="20"/>
                <w:szCs w:val="20"/>
                <w:highlight w:val="yellow"/>
              </w:rPr>
              <w:t>existing respiratory diseases).</w:t>
            </w:r>
          </w:p>
        </w:tc>
      </w:tr>
      <w:tr w:rsidR="00D815E2" w:rsidRPr="00B16053" w14:paraId="614E51EC"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0C4836D7" w14:textId="77777777" w:rsidR="00D815E2" w:rsidRPr="00B16053" w:rsidRDefault="00D815E2" w:rsidP="0051520C">
            <w:pPr>
              <w:rPr>
                <w:sz w:val="20"/>
                <w:szCs w:val="20"/>
              </w:rPr>
            </w:pPr>
            <w:r w:rsidRPr="00B16053">
              <w:rPr>
                <w:sz w:val="20"/>
                <w:szCs w:val="20"/>
              </w:rPr>
              <w:t>Metals</w:t>
            </w:r>
          </w:p>
        </w:tc>
        <w:tc>
          <w:tcPr>
            <w:tcW w:w="2813" w:type="dxa"/>
            <w:tcBorders>
              <w:top w:val="single" w:sz="4" w:space="0" w:color="auto"/>
              <w:left w:val="single" w:sz="4" w:space="0" w:color="auto"/>
              <w:bottom w:val="single" w:sz="4" w:space="0" w:color="auto"/>
              <w:right w:val="single" w:sz="4" w:space="0" w:color="auto"/>
            </w:tcBorders>
            <w:vAlign w:val="center"/>
          </w:tcPr>
          <w:p w14:paraId="496C94D2" w14:textId="374E44A9" w:rsidR="00D815E2" w:rsidRPr="00B16053" w:rsidRDefault="00D815E2" w:rsidP="0051520C">
            <w:pPr>
              <w:rPr>
                <w:sz w:val="20"/>
                <w:szCs w:val="20"/>
              </w:rPr>
            </w:pPr>
            <w:r w:rsidRPr="00B16053">
              <w:rPr>
                <w:sz w:val="20"/>
                <w:szCs w:val="20"/>
              </w:rPr>
              <w:t xml:space="preserve">Short-term: </w:t>
            </w:r>
            <w:r w:rsidRPr="00B16053">
              <w:rPr>
                <w:sz w:val="20"/>
                <w:szCs w:val="20"/>
                <w:highlight w:val="yellow"/>
              </w:rPr>
              <w:t>None identified based on available data.</w:t>
            </w:r>
          </w:p>
        </w:tc>
        <w:tc>
          <w:tcPr>
            <w:tcW w:w="2520" w:type="dxa"/>
            <w:vMerge w:val="restart"/>
            <w:tcBorders>
              <w:left w:val="single" w:sz="4" w:space="0" w:color="auto"/>
              <w:right w:val="single" w:sz="4" w:space="0" w:color="auto"/>
            </w:tcBorders>
            <w:vAlign w:val="center"/>
          </w:tcPr>
          <w:p w14:paraId="65961766" w14:textId="77777777" w:rsidR="00D815E2" w:rsidRPr="00B16053" w:rsidRDefault="00D815E2" w:rsidP="0051520C">
            <w:pPr>
              <w:rPr>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4A0C9F76" w14:textId="153F208B" w:rsidR="00D815E2" w:rsidRPr="00B16053" w:rsidRDefault="00D815E2" w:rsidP="0051520C">
            <w:pPr>
              <w:rPr>
                <w:sz w:val="20"/>
                <w:szCs w:val="20"/>
              </w:rPr>
            </w:pPr>
            <w:r w:rsidRPr="00B16053">
              <w:rPr>
                <w:sz w:val="20"/>
                <w:szCs w:val="20"/>
              </w:rPr>
              <w:t xml:space="preserve">Short-term: </w:t>
            </w:r>
            <w:r w:rsidRPr="00B16053">
              <w:rPr>
                <w:sz w:val="20"/>
                <w:szCs w:val="20"/>
                <w:highlight w:val="yellow"/>
              </w:rPr>
              <w:t>None identified based on available data.</w:t>
            </w:r>
          </w:p>
        </w:tc>
      </w:tr>
      <w:tr w:rsidR="00D815E2" w:rsidRPr="00B16053" w14:paraId="559EA8CE" w14:textId="77777777" w:rsidTr="18E03C30">
        <w:trPr>
          <w:trHeight w:val="317"/>
        </w:trPr>
        <w:tc>
          <w:tcPr>
            <w:tcW w:w="1687" w:type="dxa"/>
            <w:vMerge/>
            <w:vAlign w:val="center"/>
          </w:tcPr>
          <w:p w14:paraId="14A9C5B2" w14:textId="77777777" w:rsidR="00D815E2" w:rsidRPr="00B16053" w:rsidRDefault="00D815E2" w:rsidP="0051520C">
            <w:pPr>
              <w:rPr>
                <w:sz w:val="20"/>
                <w:szCs w:val="20"/>
              </w:rPr>
            </w:pPr>
          </w:p>
        </w:tc>
        <w:tc>
          <w:tcPr>
            <w:tcW w:w="2813" w:type="dxa"/>
            <w:tcBorders>
              <w:top w:val="single" w:sz="4" w:space="0" w:color="auto"/>
              <w:left w:val="single" w:sz="4" w:space="0" w:color="auto"/>
              <w:bottom w:val="single" w:sz="4" w:space="0" w:color="auto"/>
              <w:right w:val="single" w:sz="4" w:space="0" w:color="auto"/>
            </w:tcBorders>
            <w:vAlign w:val="center"/>
          </w:tcPr>
          <w:p w14:paraId="5011F3E9" w14:textId="39E4805A" w:rsidR="00D815E2" w:rsidRPr="00B16053" w:rsidRDefault="00D815E2" w:rsidP="0051520C">
            <w:pPr>
              <w:rPr>
                <w:sz w:val="20"/>
                <w:szCs w:val="20"/>
              </w:rPr>
            </w:pPr>
            <w:r w:rsidRPr="00B16053">
              <w:rPr>
                <w:sz w:val="20"/>
                <w:szCs w:val="20"/>
              </w:rPr>
              <w:t xml:space="preserve">Long-term: </w:t>
            </w:r>
            <w:r w:rsidRPr="00B16053">
              <w:rPr>
                <w:sz w:val="20"/>
                <w:szCs w:val="20"/>
                <w:highlight w:val="yellow"/>
              </w:rPr>
              <w:t>None identified based on available data.</w:t>
            </w:r>
          </w:p>
        </w:tc>
        <w:tc>
          <w:tcPr>
            <w:tcW w:w="2520" w:type="dxa"/>
            <w:vMerge/>
            <w:vAlign w:val="center"/>
          </w:tcPr>
          <w:p w14:paraId="5BC71EF7" w14:textId="77777777" w:rsidR="00D815E2" w:rsidRPr="00B16053" w:rsidRDefault="00D815E2" w:rsidP="0051520C">
            <w:pPr>
              <w:rPr>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00FBC419" w14:textId="565D2898" w:rsidR="00D815E2" w:rsidRPr="00B16053" w:rsidRDefault="00D815E2" w:rsidP="0051520C">
            <w:pPr>
              <w:rPr>
                <w:sz w:val="20"/>
                <w:szCs w:val="20"/>
              </w:rPr>
            </w:pPr>
            <w:r w:rsidRPr="00B16053">
              <w:rPr>
                <w:sz w:val="20"/>
                <w:szCs w:val="20"/>
              </w:rPr>
              <w:t xml:space="preserve">Long-term: </w:t>
            </w:r>
            <w:r w:rsidRPr="00B16053">
              <w:rPr>
                <w:sz w:val="20"/>
                <w:szCs w:val="20"/>
                <w:highlight w:val="yellow"/>
              </w:rPr>
              <w:t>None identified based on available data.</w:t>
            </w:r>
          </w:p>
        </w:tc>
      </w:tr>
      <w:tr w:rsidR="00F054B2" w:rsidRPr="00B16053" w14:paraId="3C5191F9"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3E4B632E" w14:textId="1DCD87A4" w:rsidR="00F054B2" w:rsidRPr="00B16053" w:rsidRDefault="00F054B2" w:rsidP="0051520C">
            <w:pPr>
              <w:rPr>
                <w:sz w:val="20"/>
                <w:szCs w:val="20"/>
                <w:highlight w:val="yellow"/>
              </w:rPr>
            </w:pPr>
            <w:commentRangeStart w:id="14"/>
            <w:r w:rsidRPr="00B16053">
              <w:rPr>
                <w:sz w:val="20"/>
                <w:szCs w:val="20"/>
                <w:highlight w:val="yellow"/>
              </w:rPr>
              <w:t>Ozone (O</w:t>
            </w:r>
            <w:r w:rsidRPr="00B16053">
              <w:rPr>
                <w:rStyle w:val="StyleSubscript"/>
                <w:sz w:val="20"/>
                <w:szCs w:val="20"/>
                <w:highlight w:val="yellow"/>
              </w:rPr>
              <w:t>3</w:t>
            </w:r>
            <w:r w:rsidRPr="00B16053">
              <w:rPr>
                <w:sz w:val="20"/>
                <w:szCs w:val="20"/>
                <w:highlight w:val="yellow"/>
              </w:rPr>
              <w:t>)</w:t>
            </w:r>
            <w:commentRangeEnd w:id="14"/>
            <w:r w:rsidR="00811582">
              <w:rPr>
                <w:rStyle w:val="CommentReference"/>
              </w:rPr>
              <w:commentReference w:id="14"/>
            </w:r>
          </w:p>
        </w:tc>
        <w:tc>
          <w:tcPr>
            <w:tcW w:w="2813" w:type="dxa"/>
            <w:tcBorders>
              <w:top w:val="single" w:sz="4" w:space="0" w:color="auto"/>
              <w:left w:val="single" w:sz="4" w:space="0" w:color="auto"/>
              <w:bottom w:val="single" w:sz="4" w:space="0" w:color="auto"/>
              <w:right w:val="single" w:sz="4" w:space="0" w:color="auto"/>
            </w:tcBorders>
            <w:vAlign w:val="center"/>
          </w:tcPr>
          <w:p w14:paraId="6D28C26F" w14:textId="06890638" w:rsidR="00F054B2" w:rsidRPr="00B16053" w:rsidRDefault="00F054B2" w:rsidP="0051520C">
            <w:pPr>
              <w:rPr>
                <w:sz w:val="20"/>
                <w:szCs w:val="20"/>
                <w:highlight w:val="yellow"/>
              </w:rPr>
            </w:pPr>
            <w:r w:rsidRPr="00B16053">
              <w:rPr>
                <w:sz w:val="20"/>
                <w:szCs w:val="20"/>
                <w:highlight w:val="yellow"/>
              </w:rPr>
              <w:t>Short-term: None identified based on available data.</w:t>
            </w:r>
          </w:p>
        </w:tc>
        <w:tc>
          <w:tcPr>
            <w:tcW w:w="2520" w:type="dxa"/>
            <w:vMerge w:val="restart"/>
            <w:tcBorders>
              <w:left w:val="single" w:sz="4" w:space="0" w:color="auto"/>
              <w:right w:val="single" w:sz="4" w:space="0" w:color="auto"/>
            </w:tcBorders>
            <w:vAlign w:val="center"/>
          </w:tcPr>
          <w:p w14:paraId="4FB81DA6" w14:textId="4A380D4B" w:rsidR="00F054B2" w:rsidRPr="00B16053" w:rsidRDefault="00F054B2" w:rsidP="0051520C">
            <w:pPr>
              <w:rPr>
                <w:color w:val="000000"/>
                <w:sz w:val="20"/>
                <w:szCs w:val="20"/>
                <w:highlight w:val="yellow"/>
              </w:rPr>
            </w:pPr>
            <w:r w:rsidRPr="00B16053">
              <w:rPr>
                <w:sz w:val="20"/>
                <w:szCs w:val="20"/>
                <w:highlight w:val="yellow"/>
              </w:rPr>
              <w:t xml:space="preserve">Limiting strenuous physical activities when air quality is </w:t>
            </w:r>
            <w:r w:rsidR="00F70ADB">
              <w:rPr>
                <w:sz w:val="20"/>
                <w:szCs w:val="20"/>
                <w:highlight w:val="yellow"/>
              </w:rPr>
              <w:t>particularly</w:t>
            </w:r>
            <w:r w:rsidR="00595F25">
              <w:rPr>
                <w:sz w:val="20"/>
                <w:szCs w:val="20"/>
                <w:highlight w:val="yellow"/>
              </w:rPr>
              <w:t xml:space="preserve"> </w:t>
            </w:r>
            <w:r w:rsidRPr="00B16053">
              <w:rPr>
                <w:sz w:val="20"/>
                <w:szCs w:val="20"/>
                <w:highlight w:val="yellow"/>
              </w:rPr>
              <w:t>poor; and actions such as closing tent flaps, windows, and doors.</w:t>
            </w:r>
          </w:p>
        </w:tc>
        <w:tc>
          <w:tcPr>
            <w:tcW w:w="3150" w:type="dxa"/>
            <w:tcBorders>
              <w:top w:val="single" w:sz="4" w:space="0" w:color="auto"/>
              <w:left w:val="single" w:sz="4" w:space="0" w:color="auto"/>
              <w:bottom w:val="single" w:sz="4" w:space="0" w:color="auto"/>
              <w:right w:val="single" w:sz="4" w:space="0" w:color="auto"/>
            </w:tcBorders>
            <w:vAlign w:val="center"/>
          </w:tcPr>
          <w:p w14:paraId="655656EC" w14:textId="68FCBB1E" w:rsidR="00F054B2" w:rsidRPr="00B16053" w:rsidRDefault="00F054B2" w:rsidP="0051520C">
            <w:pPr>
              <w:rPr>
                <w:sz w:val="20"/>
                <w:szCs w:val="20"/>
                <w:highlight w:val="yellow"/>
              </w:rPr>
            </w:pPr>
            <w:r w:rsidRPr="00B16053">
              <w:rPr>
                <w:sz w:val="20"/>
                <w:szCs w:val="20"/>
                <w:highlight w:val="yellow"/>
              </w:rPr>
              <w:t>Short-term: None identified based on available data.</w:t>
            </w:r>
          </w:p>
        </w:tc>
      </w:tr>
      <w:tr w:rsidR="00F054B2" w:rsidRPr="00B16053" w14:paraId="7250974B" w14:textId="77777777" w:rsidTr="18E03C30">
        <w:trPr>
          <w:trHeight w:val="317"/>
        </w:trPr>
        <w:tc>
          <w:tcPr>
            <w:tcW w:w="1687" w:type="dxa"/>
            <w:vMerge/>
            <w:vAlign w:val="center"/>
          </w:tcPr>
          <w:p w14:paraId="23CEA43E" w14:textId="77777777" w:rsidR="00F054B2" w:rsidRPr="00B16053" w:rsidRDefault="00F054B2" w:rsidP="0051520C">
            <w:pPr>
              <w:rPr>
                <w:sz w:val="20"/>
                <w:szCs w:val="20"/>
                <w:highlight w:val="yellow"/>
              </w:rPr>
            </w:pPr>
          </w:p>
        </w:tc>
        <w:tc>
          <w:tcPr>
            <w:tcW w:w="2813" w:type="dxa"/>
            <w:tcBorders>
              <w:top w:val="single" w:sz="4" w:space="0" w:color="auto"/>
              <w:left w:val="single" w:sz="4" w:space="0" w:color="auto"/>
              <w:bottom w:val="single" w:sz="4" w:space="0" w:color="auto"/>
              <w:right w:val="single" w:sz="4" w:space="0" w:color="auto"/>
            </w:tcBorders>
            <w:vAlign w:val="center"/>
          </w:tcPr>
          <w:p w14:paraId="497FAA47" w14:textId="528C0CA5" w:rsidR="00F054B2" w:rsidRPr="00B16053" w:rsidRDefault="00F054B2" w:rsidP="0051520C">
            <w:pPr>
              <w:rPr>
                <w:sz w:val="20"/>
                <w:szCs w:val="20"/>
                <w:highlight w:val="yellow"/>
              </w:rPr>
            </w:pPr>
            <w:r w:rsidRPr="00B16053">
              <w:rPr>
                <w:sz w:val="20"/>
                <w:szCs w:val="20"/>
                <w:highlight w:val="yellow"/>
              </w:rPr>
              <w:t>Long-term: None identified based on available data.</w:t>
            </w:r>
          </w:p>
        </w:tc>
        <w:tc>
          <w:tcPr>
            <w:tcW w:w="2520" w:type="dxa"/>
            <w:vMerge/>
            <w:vAlign w:val="center"/>
          </w:tcPr>
          <w:p w14:paraId="41B431C5" w14:textId="77777777" w:rsidR="00F054B2" w:rsidRPr="00B16053" w:rsidRDefault="00F054B2" w:rsidP="0051520C">
            <w:pPr>
              <w:rPr>
                <w:sz w:val="20"/>
                <w:szCs w:val="20"/>
                <w:highlight w:val="yellow"/>
              </w:rPr>
            </w:pPr>
          </w:p>
        </w:tc>
        <w:tc>
          <w:tcPr>
            <w:tcW w:w="3150" w:type="dxa"/>
            <w:tcBorders>
              <w:top w:val="single" w:sz="4" w:space="0" w:color="auto"/>
              <w:left w:val="single" w:sz="4" w:space="0" w:color="auto"/>
              <w:bottom w:val="single" w:sz="4" w:space="0" w:color="auto"/>
              <w:right w:val="single" w:sz="4" w:space="0" w:color="auto"/>
            </w:tcBorders>
            <w:vAlign w:val="center"/>
          </w:tcPr>
          <w:p w14:paraId="38E63373" w14:textId="2CD96F13" w:rsidR="00F054B2" w:rsidRPr="00B16053" w:rsidRDefault="00F054B2" w:rsidP="0051520C">
            <w:pPr>
              <w:rPr>
                <w:sz w:val="20"/>
                <w:szCs w:val="20"/>
                <w:highlight w:val="yellow"/>
              </w:rPr>
            </w:pPr>
            <w:r w:rsidRPr="00B16053">
              <w:rPr>
                <w:sz w:val="20"/>
                <w:szCs w:val="20"/>
                <w:highlight w:val="yellow"/>
              </w:rPr>
              <w:t>Long-term: None identified based on available data.</w:t>
            </w:r>
          </w:p>
        </w:tc>
      </w:tr>
      <w:tr w:rsidR="00F054B2" w:rsidRPr="00B16053" w14:paraId="71AE11A2"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22A37105" w14:textId="12E4D1D9" w:rsidR="00F054B2" w:rsidRPr="00B16053" w:rsidRDefault="00F054B2" w:rsidP="0051520C">
            <w:pPr>
              <w:rPr>
                <w:sz w:val="20"/>
                <w:szCs w:val="20"/>
                <w:highlight w:val="yellow"/>
              </w:rPr>
            </w:pPr>
            <w:r w:rsidRPr="00B16053">
              <w:rPr>
                <w:sz w:val="20"/>
                <w:szCs w:val="20"/>
                <w:highlight w:val="yellow"/>
              </w:rPr>
              <w:t>Nitrogen Dioxide (NO</w:t>
            </w:r>
            <w:r w:rsidRPr="00B16053">
              <w:rPr>
                <w:rStyle w:val="StyleSubscript"/>
                <w:sz w:val="20"/>
                <w:szCs w:val="20"/>
                <w:highlight w:val="yellow"/>
              </w:rPr>
              <w:t>2</w:t>
            </w:r>
            <w:r w:rsidRPr="00B16053">
              <w:rPr>
                <w:sz w:val="20"/>
                <w:szCs w:val="20"/>
                <w:highlight w:val="yellow"/>
              </w:rPr>
              <w:t>)</w:t>
            </w:r>
          </w:p>
        </w:tc>
        <w:tc>
          <w:tcPr>
            <w:tcW w:w="2813" w:type="dxa"/>
            <w:tcBorders>
              <w:top w:val="single" w:sz="4" w:space="0" w:color="auto"/>
              <w:left w:val="single" w:sz="4" w:space="0" w:color="auto"/>
              <w:bottom w:val="single" w:sz="4" w:space="0" w:color="auto"/>
              <w:right w:val="single" w:sz="4" w:space="0" w:color="auto"/>
            </w:tcBorders>
            <w:vAlign w:val="center"/>
          </w:tcPr>
          <w:p w14:paraId="733396C5" w14:textId="4B40E3DA" w:rsidR="00F054B2" w:rsidRPr="00B16053" w:rsidRDefault="00F054B2" w:rsidP="0051520C">
            <w:pPr>
              <w:rPr>
                <w:sz w:val="20"/>
                <w:szCs w:val="20"/>
                <w:highlight w:val="yellow"/>
              </w:rPr>
            </w:pPr>
            <w:r w:rsidRPr="00B16053">
              <w:rPr>
                <w:sz w:val="20"/>
                <w:szCs w:val="20"/>
                <w:highlight w:val="yellow"/>
              </w:rPr>
              <w:t>Short-term: None identified based on available data.</w:t>
            </w:r>
          </w:p>
        </w:tc>
        <w:tc>
          <w:tcPr>
            <w:tcW w:w="2520" w:type="dxa"/>
            <w:vMerge/>
            <w:vAlign w:val="center"/>
          </w:tcPr>
          <w:p w14:paraId="1D2BE81F" w14:textId="77777777" w:rsidR="00F054B2" w:rsidRPr="00B16053" w:rsidRDefault="00F054B2" w:rsidP="0051520C">
            <w:pPr>
              <w:rPr>
                <w:sz w:val="20"/>
                <w:szCs w:val="20"/>
                <w:highlight w:val="yellow"/>
              </w:rPr>
            </w:pPr>
          </w:p>
        </w:tc>
        <w:tc>
          <w:tcPr>
            <w:tcW w:w="3150" w:type="dxa"/>
            <w:tcBorders>
              <w:top w:val="single" w:sz="4" w:space="0" w:color="auto"/>
              <w:left w:val="single" w:sz="4" w:space="0" w:color="auto"/>
              <w:bottom w:val="single" w:sz="4" w:space="0" w:color="auto"/>
              <w:right w:val="single" w:sz="4" w:space="0" w:color="auto"/>
            </w:tcBorders>
            <w:vAlign w:val="center"/>
          </w:tcPr>
          <w:p w14:paraId="3874BE1C" w14:textId="5B188B41" w:rsidR="00F054B2" w:rsidRPr="00B16053" w:rsidRDefault="00F054B2" w:rsidP="0051520C">
            <w:pPr>
              <w:rPr>
                <w:sz w:val="20"/>
                <w:szCs w:val="20"/>
                <w:highlight w:val="yellow"/>
              </w:rPr>
            </w:pPr>
            <w:r w:rsidRPr="00B16053">
              <w:rPr>
                <w:sz w:val="20"/>
                <w:szCs w:val="20"/>
                <w:highlight w:val="yellow"/>
              </w:rPr>
              <w:t>Short-term: None identified based on available data.</w:t>
            </w:r>
          </w:p>
        </w:tc>
      </w:tr>
      <w:tr w:rsidR="00F054B2" w:rsidRPr="00B16053" w14:paraId="0B13D788" w14:textId="77777777" w:rsidTr="18E03C30">
        <w:trPr>
          <w:trHeight w:val="317"/>
        </w:trPr>
        <w:tc>
          <w:tcPr>
            <w:tcW w:w="1687" w:type="dxa"/>
            <w:vMerge/>
            <w:vAlign w:val="center"/>
          </w:tcPr>
          <w:p w14:paraId="3DE76F69" w14:textId="77777777" w:rsidR="00F054B2" w:rsidRPr="00B16053" w:rsidRDefault="00F054B2" w:rsidP="0051520C">
            <w:pPr>
              <w:rPr>
                <w:sz w:val="20"/>
                <w:szCs w:val="20"/>
                <w:highlight w:val="yellow"/>
              </w:rPr>
            </w:pPr>
          </w:p>
        </w:tc>
        <w:tc>
          <w:tcPr>
            <w:tcW w:w="2813" w:type="dxa"/>
            <w:tcBorders>
              <w:top w:val="single" w:sz="4" w:space="0" w:color="auto"/>
              <w:left w:val="single" w:sz="4" w:space="0" w:color="auto"/>
              <w:bottom w:val="single" w:sz="4" w:space="0" w:color="auto"/>
              <w:right w:val="single" w:sz="4" w:space="0" w:color="auto"/>
            </w:tcBorders>
            <w:vAlign w:val="center"/>
          </w:tcPr>
          <w:p w14:paraId="72A9D6D9" w14:textId="4F21A9C1" w:rsidR="00F054B2" w:rsidRPr="00B16053" w:rsidRDefault="00F054B2" w:rsidP="0051520C">
            <w:pPr>
              <w:rPr>
                <w:sz w:val="20"/>
                <w:szCs w:val="20"/>
                <w:highlight w:val="yellow"/>
              </w:rPr>
            </w:pPr>
            <w:r w:rsidRPr="00B16053">
              <w:rPr>
                <w:sz w:val="20"/>
                <w:szCs w:val="20"/>
                <w:highlight w:val="yellow"/>
              </w:rPr>
              <w:t>Long-term: None identified based on available data.</w:t>
            </w:r>
          </w:p>
        </w:tc>
        <w:tc>
          <w:tcPr>
            <w:tcW w:w="2520" w:type="dxa"/>
            <w:vMerge/>
            <w:vAlign w:val="center"/>
          </w:tcPr>
          <w:p w14:paraId="78A43C83" w14:textId="77777777" w:rsidR="00F054B2" w:rsidRPr="00B16053" w:rsidRDefault="00F054B2" w:rsidP="0051520C">
            <w:pPr>
              <w:rPr>
                <w:sz w:val="20"/>
                <w:szCs w:val="20"/>
                <w:highlight w:val="yellow"/>
              </w:rPr>
            </w:pPr>
          </w:p>
        </w:tc>
        <w:tc>
          <w:tcPr>
            <w:tcW w:w="3150" w:type="dxa"/>
            <w:tcBorders>
              <w:top w:val="single" w:sz="4" w:space="0" w:color="auto"/>
              <w:left w:val="single" w:sz="4" w:space="0" w:color="auto"/>
              <w:bottom w:val="single" w:sz="4" w:space="0" w:color="auto"/>
              <w:right w:val="single" w:sz="4" w:space="0" w:color="auto"/>
            </w:tcBorders>
            <w:vAlign w:val="center"/>
          </w:tcPr>
          <w:p w14:paraId="4FB26D31" w14:textId="794869B8" w:rsidR="00F054B2" w:rsidRPr="00B16053" w:rsidRDefault="00F054B2" w:rsidP="0051520C">
            <w:pPr>
              <w:rPr>
                <w:sz w:val="20"/>
                <w:szCs w:val="20"/>
                <w:highlight w:val="yellow"/>
              </w:rPr>
            </w:pPr>
            <w:r w:rsidRPr="00B16053">
              <w:rPr>
                <w:sz w:val="20"/>
                <w:szCs w:val="20"/>
                <w:highlight w:val="yellow"/>
              </w:rPr>
              <w:t>Long-term: None identified based on available data.</w:t>
            </w:r>
          </w:p>
        </w:tc>
      </w:tr>
      <w:tr w:rsidR="00F054B2" w:rsidRPr="00B16053" w14:paraId="14CE3885"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42BEC9BE" w14:textId="77777777" w:rsidR="00F054B2" w:rsidRPr="00B16053" w:rsidRDefault="00F054B2" w:rsidP="0051520C">
            <w:pPr>
              <w:rPr>
                <w:sz w:val="20"/>
                <w:szCs w:val="20"/>
              </w:rPr>
            </w:pPr>
            <w:r w:rsidRPr="00B16053">
              <w:rPr>
                <w:sz w:val="20"/>
                <w:szCs w:val="20"/>
              </w:rPr>
              <w:t>Volatile Organic Compounds (VOC)</w:t>
            </w:r>
          </w:p>
        </w:tc>
        <w:tc>
          <w:tcPr>
            <w:tcW w:w="2813" w:type="dxa"/>
            <w:tcBorders>
              <w:left w:val="single" w:sz="4" w:space="0" w:color="auto"/>
              <w:bottom w:val="single" w:sz="4" w:space="0" w:color="auto"/>
              <w:right w:val="single" w:sz="4" w:space="0" w:color="auto"/>
            </w:tcBorders>
            <w:shd w:val="clear" w:color="auto" w:fill="auto"/>
            <w:vAlign w:val="center"/>
          </w:tcPr>
          <w:p w14:paraId="2C4E5A56" w14:textId="72EE076F" w:rsidR="00F054B2" w:rsidRPr="00B16053" w:rsidRDefault="00F054B2" w:rsidP="0051520C">
            <w:pPr>
              <w:rPr>
                <w:sz w:val="20"/>
                <w:szCs w:val="20"/>
              </w:rPr>
            </w:pPr>
            <w:r w:rsidRPr="00B16053">
              <w:rPr>
                <w:sz w:val="20"/>
                <w:szCs w:val="20"/>
              </w:rPr>
              <w:t xml:space="preserve">Short-term: </w:t>
            </w:r>
            <w:r w:rsidRPr="00B16053">
              <w:rPr>
                <w:sz w:val="20"/>
                <w:szCs w:val="20"/>
                <w:highlight w:val="yellow"/>
              </w:rPr>
              <w:t>No data available to determine a health risk.</w:t>
            </w:r>
          </w:p>
        </w:tc>
        <w:tc>
          <w:tcPr>
            <w:tcW w:w="2520" w:type="dxa"/>
            <w:vMerge w:val="restart"/>
            <w:tcBorders>
              <w:left w:val="single" w:sz="4" w:space="0" w:color="auto"/>
              <w:right w:val="single" w:sz="4" w:space="0" w:color="auto"/>
            </w:tcBorders>
            <w:vAlign w:val="center"/>
          </w:tcPr>
          <w:p w14:paraId="54EC66B0" w14:textId="77777777" w:rsidR="00F054B2" w:rsidRPr="00B16053" w:rsidRDefault="00F054B2" w:rsidP="0051520C">
            <w:pPr>
              <w:rPr>
                <w:sz w:val="20"/>
                <w:szCs w:val="20"/>
              </w:rPr>
            </w:pPr>
          </w:p>
          <w:p w14:paraId="0C2C58CA" w14:textId="77777777" w:rsidR="00F054B2" w:rsidRPr="00B16053" w:rsidRDefault="00F054B2" w:rsidP="0051520C">
            <w:pPr>
              <w:rPr>
                <w:sz w:val="20"/>
                <w:szCs w:val="20"/>
              </w:rPr>
            </w:pPr>
          </w:p>
          <w:p w14:paraId="1C56F19C"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tcPr>
          <w:p w14:paraId="4E7FB84D" w14:textId="09566815" w:rsidR="00F054B2" w:rsidRPr="00B16053" w:rsidRDefault="00F054B2" w:rsidP="0051520C">
            <w:pPr>
              <w:rPr>
                <w:sz w:val="20"/>
                <w:szCs w:val="20"/>
              </w:rPr>
            </w:pPr>
            <w:r w:rsidRPr="00B16053">
              <w:rPr>
                <w:sz w:val="20"/>
                <w:szCs w:val="20"/>
              </w:rPr>
              <w:t xml:space="preserve">Short-term: </w:t>
            </w:r>
            <w:r w:rsidRPr="00B16053">
              <w:rPr>
                <w:sz w:val="20"/>
                <w:szCs w:val="20"/>
                <w:highlight w:val="yellow"/>
              </w:rPr>
              <w:t>No data available to determine a health risk.</w:t>
            </w:r>
          </w:p>
        </w:tc>
      </w:tr>
      <w:tr w:rsidR="00F054B2" w:rsidRPr="00B16053" w14:paraId="1A0294B0" w14:textId="77777777" w:rsidTr="18E03C30">
        <w:trPr>
          <w:trHeight w:val="317"/>
        </w:trPr>
        <w:tc>
          <w:tcPr>
            <w:tcW w:w="1687" w:type="dxa"/>
            <w:vMerge/>
            <w:vAlign w:val="center"/>
          </w:tcPr>
          <w:p w14:paraId="465AF1ED" w14:textId="77777777" w:rsidR="00F054B2" w:rsidRPr="00B16053" w:rsidRDefault="00F054B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29FFE000" w14:textId="7F1982B7" w:rsidR="00F054B2" w:rsidRPr="00B16053" w:rsidRDefault="00F054B2" w:rsidP="0051520C">
            <w:pPr>
              <w:rPr>
                <w:sz w:val="20"/>
                <w:szCs w:val="20"/>
              </w:rPr>
            </w:pPr>
            <w:r w:rsidRPr="00B16053">
              <w:rPr>
                <w:sz w:val="20"/>
                <w:szCs w:val="20"/>
              </w:rPr>
              <w:t xml:space="preserve">Long-term: </w:t>
            </w:r>
            <w:r w:rsidRPr="00B16053">
              <w:rPr>
                <w:sz w:val="20"/>
                <w:szCs w:val="20"/>
                <w:highlight w:val="yellow"/>
              </w:rPr>
              <w:t>No data available to determine a health risk.</w:t>
            </w:r>
          </w:p>
        </w:tc>
        <w:tc>
          <w:tcPr>
            <w:tcW w:w="2520" w:type="dxa"/>
            <w:vMerge/>
            <w:vAlign w:val="center"/>
          </w:tcPr>
          <w:p w14:paraId="58411DBD"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tcPr>
          <w:p w14:paraId="551ECF46" w14:textId="77777777" w:rsidR="00F054B2" w:rsidRPr="00B16053" w:rsidRDefault="00F054B2" w:rsidP="0051520C">
            <w:pPr>
              <w:rPr>
                <w:sz w:val="20"/>
                <w:szCs w:val="20"/>
              </w:rPr>
            </w:pPr>
            <w:r w:rsidRPr="00B16053">
              <w:rPr>
                <w:sz w:val="20"/>
                <w:szCs w:val="20"/>
              </w:rPr>
              <w:t xml:space="preserve">Long-term: </w:t>
            </w:r>
            <w:r w:rsidRPr="00B16053">
              <w:rPr>
                <w:sz w:val="20"/>
                <w:szCs w:val="20"/>
                <w:highlight w:val="yellow"/>
              </w:rPr>
              <w:t>No data available to determine a health risk.</w:t>
            </w:r>
          </w:p>
        </w:tc>
      </w:tr>
      <w:tr w:rsidR="006C0B42" w:rsidRPr="00B16053" w14:paraId="1EACF6E2" w14:textId="77777777" w:rsidTr="18E03C30">
        <w:trPr>
          <w:trHeight w:val="317"/>
        </w:trPr>
        <w:tc>
          <w:tcPr>
            <w:tcW w:w="1017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5E7DE452" w14:textId="5E45C8CC" w:rsidR="006C0B42" w:rsidRPr="00B16053" w:rsidRDefault="006C0B42" w:rsidP="0051520C">
            <w:pPr>
              <w:rPr>
                <w:sz w:val="20"/>
                <w:szCs w:val="20"/>
              </w:rPr>
            </w:pPr>
            <w:r w:rsidRPr="00B16053">
              <w:rPr>
                <w:sz w:val="20"/>
                <w:szCs w:val="20"/>
              </w:rPr>
              <w:t>SOIL</w:t>
            </w:r>
          </w:p>
        </w:tc>
      </w:tr>
      <w:tr w:rsidR="00F054B2" w:rsidRPr="00B16053" w14:paraId="140D3DE2"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6C87EE73" w14:textId="77777777" w:rsidR="00F054B2" w:rsidRPr="00B16053" w:rsidRDefault="00F054B2" w:rsidP="0051520C">
            <w:pPr>
              <w:rPr>
                <w:color w:val="000000"/>
                <w:sz w:val="20"/>
                <w:szCs w:val="20"/>
              </w:rPr>
            </w:pPr>
            <w:r w:rsidRPr="00B16053">
              <w:rPr>
                <w:sz w:val="20"/>
                <w:szCs w:val="20"/>
              </w:rPr>
              <w:t>Metals, Organic Compounds, Inorganic Compounds</w:t>
            </w:r>
          </w:p>
        </w:tc>
        <w:tc>
          <w:tcPr>
            <w:tcW w:w="2813" w:type="dxa"/>
            <w:tcBorders>
              <w:left w:val="single" w:sz="4" w:space="0" w:color="auto"/>
              <w:bottom w:val="single" w:sz="4" w:space="0" w:color="auto"/>
              <w:right w:val="single" w:sz="4" w:space="0" w:color="auto"/>
            </w:tcBorders>
            <w:shd w:val="clear" w:color="auto" w:fill="auto"/>
            <w:vAlign w:val="center"/>
          </w:tcPr>
          <w:p w14:paraId="35D3B461" w14:textId="02FEEEB7" w:rsidR="00F054B2" w:rsidRPr="00B16053" w:rsidRDefault="00F054B2" w:rsidP="0051520C">
            <w:pPr>
              <w:rPr>
                <w:sz w:val="20"/>
                <w:szCs w:val="20"/>
              </w:rPr>
            </w:pPr>
            <w:r w:rsidRPr="00B16053">
              <w:rPr>
                <w:sz w:val="20"/>
                <w:szCs w:val="20"/>
              </w:rPr>
              <w:t>Short-term: No MEG available</w:t>
            </w:r>
          </w:p>
        </w:tc>
        <w:tc>
          <w:tcPr>
            <w:tcW w:w="2520" w:type="dxa"/>
            <w:vMerge w:val="restart"/>
            <w:tcBorders>
              <w:left w:val="single" w:sz="4" w:space="0" w:color="auto"/>
              <w:right w:val="single" w:sz="4" w:space="0" w:color="auto"/>
            </w:tcBorders>
            <w:shd w:val="clear" w:color="auto" w:fill="auto"/>
            <w:vAlign w:val="center"/>
          </w:tcPr>
          <w:p w14:paraId="15BBB7CB"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5D86B652" w14:textId="2C2E03C2" w:rsidR="00F054B2" w:rsidRPr="00B16053" w:rsidRDefault="00F054B2" w:rsidP="0051520C">
            <w:pPr>
              <w:rPr>
                <w:sz w:val="20"/>
                <w:szCs w:val="20"/>
              </w:rPr>
            </w:pPr>
            <w:r w:rsidRPr="00B16053">
              <w:rPr>
                <w:sz w:val="20"/>
                <w:szCs w:val="20"/>
              </w:rPr>
              <w:t>Short-term: No MEG available</w:t>
            </w:r>
          </w:p>
        </w:tc>
      </w:tr>
      <w:tr w:rsidR="00F054B2" w:rsidRPr="00B16053" w14:paraId="024EA17B" w14:textId="77777777" w:rsidTr="18E03C30">
        <w:trPr>
          <w:trHeight w:val="317"/>
        </w:trPr>
        <w:tc>
          <w:tcPr>
            <w:tcW w:w="1687" w:type="dxa"/>
            <w:vMerge/>
            <w:vAlign w:val="center"/>
          </w:tcPr>
          <w:p w14:paraId="5B0BD5A0" w14:textId="77777777" w:rsidR="00F054B2" w:rsidRPr="00B16053" w:rsidRDefault="00F054B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700F42C0" w14:textId="65E96D61" w:rsidR="00F054B2" w:rsidRPr="00B16053" w:rsidRDefault="00F054B2" w:rsidP="0051520C">
            <w:pPr>
              <w:rPr>
                <w:sz w:val="20"/>
                <w:szCs w:val="20"/>
              </w:rPr>
            </w:pPr>
            <w:r w:rsidRPr="00B16053">
              <w:rPr>
                <w:sz w:val="20"/>
                <w:szCs w:val="20"/>
              </w:rPr>
              <w:t xml:space="preserve">Long-term: </w:t>
            </w:r>
            <w:r w:rsidRPr="00B16053">
              <w:rPr>
                <w:sz w:val="20"/>
                <w:szCs w:val="20"/>
                <w:highlight w:val="yellow"/>
              </w:rPr>
              <w:t>None identified based on available data.</w:t>
            </w:r>
          </w:p>
        </w:tc>
        <w:tc>
          <w:tcPr>
            <w:tcW w:w="2520" w:type="dxa"/>
            <w:vMerge/>
            <w:vAlign w:val="center"/>
          </w:tcPr>
          <w:p w14:paraId="1480A19C"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25C499D7" w14:textId="0EABBFBC" w:rsidR="00F054B2" w:rsidRPr="00B16053" w:rsidRDefault="00F054B2" w:rsidP="0051520C">
            <w:pPr>
              <w:rPr>
                <w:sz w:val="20"/>
                <w:szCs w:val="20"/>
              </w:rPr>
            </w:pPr>
            <w:r w:rsidRPr="00B16053">
              <w:rPr>
                <w:sz w:val="20"/>
                <w:szCs w:val="20"/>
              </w:rPr>
              <w:t xml:space="preserve">Long-term: </w:t>
            </w:r>
            <w:r w:rsidRPr="00B16053">
              <w:rPr>
                <w:sz w:val="20"/>
                <w:szCs w:val="20"/>
                <w:highlight w:val="yellow"/>
              </w:rPr>
              <w:t>None identified based on available data.</w:t>
            </w:r>
          </w:p>
        </w:tc>
      </w:tr>
      <w:tr w:rsidR="006C0B42" w:rsidRPr="00B16053" w14:paraId="468A234F" w14:textId="77777777" w:rsidTr="18E03C30">
        <w:trPr>
          <w:trHeight w:val="317"/>
        </w:trPr>
        <w:tc>
          <w:tcPr>
            <w:tcW w:w="1017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4E8B06A1" w14:textId="103B7277" w:rsidR="006C0B42" w:rsidRPr="00B16053" w:rsidRDefault="006C0B42" w:rsidP="0051520C">
            <w:pPr>
              <w:rPr>
                <w:sz w:val="20"/>
                <w:szCs w:val="20"/>
              </w:rPr>
            </w:pPr>
            <w:r w:rsidRPr="00B16053">
              <w:rPr>
                <w:sz w:val="20"/>
                <w:szCs w:val="20"/>
              </w:rPr>
              <w:t>WATER</w:t>
            </w:r>
          </w:p>
        </w:tc>
      </w:tr>
      <w:tr w:rsidR="00F054B2" w:rsidRPr="00B16053" w14:paraId="6B357809"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3C7958DA" w14:textId="77777777" w:rsidR="00F054B2" w:rsidRPr="00B16053" w:rsidRDefault="00F054B2" w:rsidP="0051520C">
            <w:pPr>
              <w:rPr>
                <w:sz w:val="20"/>
                <w:szCs w:val="20"/>
              </w:rPr>
            </w:pPr>
            <w:r w:rsidRPr="00B16053">
              <w:rPr>
                <w:sz w:val="20"/>
                <w:szCs w:val="20"/>
              </w:rPr>
              <w:t>Drinking Water</w:t>
            </w:r>
          </w:p>
        </w:tc>
        <w:tc>
          <w:tcPr>
            <w:tcW w:w="2813" w:type="dxa"/>
            <w:tcBorders>
              <w:left w:val="single" w:sz="4" w:space="0" w:color="auto"/>
              <w:bottom w:val="single" w:sz="4" w:space="0" w:color="auto"/>
              <w:right w:val="single" w:sz="4" w:space="0" w:color="auto"/>
            </w:tcBorders>
            <w:shd w:val="clear" w:color="auto" w:fill="auto"/>
            <w:vAlign w:val="center"/>
          </w:tcPr>
          <w:p w14:paraId="16528428" w14:textId="3ACCCAA5" w:rsidR="00F054B2" w:rsidRPr="00B16053" w:rsidRDefault="00F054B2" w:rsidP="6BC8C89B">
            <w:pPr>
              <w:rPr>
                <w:sz w:val="20"/>
                <w:szCs w:val="20"/>
                <w:highlight w:val="yellow"/>
              </w:rPr>
            </w:pPr>
            <w:r w:rsidRPr="6BC8C89B">
              <w:rPr>
                <w:sz w:val="20"/>
                <w:szCs w:val="20"/>
              </w:rPr>
              <w:t xml:space="preserve">Short-term: </w:t>
            </w:r>
            <w:r w:rsidRPr="6BC8C89B">
              <w:rPr>
                <w:sz w:val="20"/>
                <w:szCs w:val="20"/>
                <w:highlight w:val="yellow"/>
              </w:rPr>
              <w:t>No data available</w:t>
            </w:r>
            <w:r w:rsidR="1DD73314" w:rsidRPr="6BC8C89B">
              <w:rPr>
                <w:sz w:val="20"/>
                <w:szCs w:val="20"/>
                <w:highlight w:val="yellow"/>
              </w:rPr>
              <w:t xml:space="preserve"> to</w:t>
            </w:r>
            <w:r w:rsidRPr="6BC8C89B">
              <w:rPr>
                <w:sz w:val="20"/>
                <w:szCs w:val="20"/>
                <w:highlight w:val="yellow"/>
              </w:rPr>
              <w:t xml:space="preserve"> determine a health risk.</w:t>
            </w:r>
          </w:p>
        </w:tc>
        <w:tc>
          <w:tcPr>
            <w:tcW w:w="2520" w:type="dxa"/>
            <w:vMerge w:val="restart"/>
            <w:tcBorders>
              <w:left w:val="single" w:sz="4" w:space="0" w:color="auto"/>
              <w:right w:val="single" w:sz="4" w:space="0" w:color="auto"/>
            </w:tcBorders>
            <w:shd w:val="clear" w:color="auto" w:fill="auto"/>
            <w:vAlign w:val="center"/>
          </w:tcPr>
          <w:p w14:paraId="76A4A7A7" w14:textId="01420752" w:rsidR="00F054B2" w:rsidRPr="00B16053" w:rsidRDefault="00F054B2" w:rsidP="0051520C">
            <w:pPr>
              <w:rPr>
                <w:sz w:val="20"/>
                <w:szCs w:val="20"/>
              </w:rPr>
            </w:pPr>
            <w:r w:rsidRPr="67E4755C">
              <w:rPr>
                <w:sz w:val="20"/>
                <w:szCs w:val="20"/>
              </w:rPr>
              <w:t xml:space="preserve">Using approved bottled water and potable water </w:t>
            </w:r>
            <w:r w:rsidR="008A6222" w:rsidRPr="67E4755C">
              <w:rPr>
                <w:sz w:val="20"/>
                <w:szCs w:val="20"/>
              </w:rPr>
              <w:t xml:space="preserve">from </w:t>
            </w:r>
            <w:r w:rsidRPr="67E4755C">
              <w:rPr>
                <w:sz w:val="20"/>
                <w:szCs w:val="20"/>
              </w:rPr>
              <w:t>only approved water sources</w:t>
            </w:r>
            <w:r w:rsidR="209B90ED" w:rsidRPr="67E4755C">
              <w:rPr>
                <w:sz w:val="20"/>
                <w:szCs w:val="20"/>
              </w:rPr>
              <w:t xml:space="preserve">; </w:t>
            </w:r>
            <w:r w:rsidR="209B90ED" w:rsidRPr="0068102F">
              <w:rPr>
                <w:sz w:val="20"/>
                <w:szCs w:val="20"/>
                <w:highlight w:val="yellow"/>
              </w:rPr>
              <w:t>or</w:t>
            </w:r>
            <w:r w:rsidR="706AA120" w:rsidRPr="0068102F">
              <w:rPr>
                <w:sz w:val="20"/>
                <w:szCs w:val="20"/>
                <w:highlight w:val="yellow"/>
              </w:rPr>
              <w:t>, if you know the details</w:t>
            </w:r>
            <w:r w:rsidR="209B90ED" w:rsidRPr="0068102F">
              <w:rPr>
                <w:sz w:val="20"/>
                <w:szCs w:val="20"/>
                <w:highlight w:val="yellow"/>
              </w:rPr>
              <w:t>, Bottled water from VS-</w:t>
            </w:r>
            <w:r w:rsidR="44754CF9" w:rsidRPr="0068102F">
              <w:rPr>
                <w:sz w:val="20"/>
                <w:szCs w:val="20"/>
                <w:highlight w:val="yellow"/>
              </w:rPr>
              <w:t>approved supplies was provided for drinking and food preparation.</w:t>
            </w:r>
          </w:p>
        </w:tc>
        <w:tc>
          <w:tcPr>
            <w:tcW w:w="3150" w:type="dxa"/>
            <w:tcBorders>
              <w:left w:val="single" w:sz="4" w:space="0" w:color="auto"/>
              <w:bottom w:val="single" w:sz="4" w:space="0" w:color="auto"/>
              <w:right w:val="single" w:sz="4" w:space="0" w:color="auto"/>
            </w:tcBorders>
            <w:shd w:val="clear" w:color="auto" w:fill="auto"/>
            <w:vAlign w:val="center"/>
          </w:tcPr>
          <w:p w14:paraId="25C0A98E" w14:textId="463527F6" w:rsidR="00F054B2" w:rsidRPr="00B16053" w:rsidRDefault="00F054B2" w:rsidP="6BC8C89B">
            <w:pPr>
              <w:rPr>
                <w:sz w:val="20"/>
                <w:szCs w:val="20"/>
                <w:highlight w:val="yellow"/>
              </w:rPr>
            </w:pPr>
            <w:r w:rsidRPr="6BC8C89B">
              <w:rPr>
                <w:sz w:val="20"/>
                <w:szCs w:val="20"/>
              </w:rPr>
              <w:t xml:space="preserve">Short-term: </w:t>
            </w:r>
            <w:r w:rsidRPr="6BC8C89B">
              <w:rPr>
                <w:sz w:val="20"/>
                <w:szCs w:val="20"/>
                <w:highlight w:val="yellow"/>
              </w:rPr>
              <w:t>No data available</w:t>
            </w:r>
            <w:r w:rsidR="349D07C4" w:rsidRPr="6BC8C89B">
              <w:rPr>
                <w:sz w:val="20"/>
                <w:szCs w:val="20"/>
                <w:highlight w:val="yellow"/>
              </w:rPr>
              <w:t xml:space="preserve"> to</w:t>
            </w:r>
            <w:r w:rsidRPr="6BC8C89B">
              <w:rPr>
                <w:sz w:val="20"/>
                <w:szCs w:val="20"/>
                <w:highlight w:val="yellow"/>
              </w:rPr>
              <w:t xml:space="preserve"> determine a health risk.</w:t>
            </w:r>
          </w:p>
        </w:tc>
      </w:tr>
      <w:tr w:rsidR="00F054B2" w:rsidRPr="00B16053" w14:paraId="1FE4502D" w14:textId="77777777" w:rsidTr="18E03C30">
        <w:trPr>
          <w:trHeight w:val="317"/>
        </w:trPr>
        <w:tc>
          <w:tcPr>
            <w:tcW w:w="1687" w:type="dxa"/>
            <w:vMerge/>
            <w:vAlign w:val="center"/>
          </w:tcPr>
          <w:p w14:paraId="7D4AEE19" w14:textId="77777777" w:rsidR="00F054B2" w:rsidRPr="00B16053" w:rsidRDefault="00F054B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3E9D2699" w14:textId="46F43179" w:rsidR="00F054B2" w:rsidRPr="00B16053" w:rsidRDefault="00F054B2" w:rsidP="6BC8C89B">
            <w:pPr>
              <w:rPr>
                <w:sz w:val="20"/>
                <w:szCs w:val="20"/>
                <w:highlight w:val="yellow"/>
              </w:rPr>
            </w:pPr>
            <w:r w:rsidRPr="6BC8C89B">
              <w:rPr>
                <w:sz w:val="20"/>
                <w:szCs w:val="20"/>
              </w:rPr>
              <w:t xml:space="preserve">Long-term: </w:t>
            </w:r>
            <w:r w:rsidRPr="6BC8C89B">
              <w:rPr>
                <w:sz w:val="20"/>
                <w:szCs w:val="20"/>
                <w:highlight w:val="yellow"/>
              </w:rPr>
              <w:t>No data available</w:t>
            </w:r>
            <w:r w:rsidR="6F2CE684" w:rsidRPr="6BC8C89B">
              <w:rPr>
                <w:sz w:val="20"/>
                <w:szCs w:val="20"/>
                <w:highlight w:val="yellow"/>
              </w:rPr>
              <w:t xml:space="preserve"> to</w:t>
            </w:r>
            <w:r w:rsidRPr="6BC8C89B">
              <w:rPr>
                <w:sz w:val="20"/>
                <w:szCs w:val="20"/>
                <w:highlight w:val="yellow"/>
              </w:rPr>
              <w:t xml:space="preserve"> determine a health risk.</w:t>
            </w:r>
          </w:p>
        </w:tc>
        <w:tc>
          <w:tcPr>
            <w:tcW w:w="2520" w:type="dxa"/>
            <w:vMerge/>
            <w:vAlign w:val="center"/>
          </w:tcPr>
          <w:p w14:paraId="2DDE9C9E"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502B157E" w14:textId="1EA63955" w:rsidR="00F054B2" w:rsidRPr="00B16053" w:rsidRDefault="00F054B2" w:rsidP="6BC8C89B">
            <w:pPr>
              <w:rPr>
                <w:sz w:val="20"/>
                <w:szCs w:val="20"/>
                <w:highlight w:val="yellow"/>
              </w:rPr>
            </w:pPr>
            <w:r w:rsidRPr="6BC8C89B">
              <w:rPr>
                <w:sz w:val="20"/>
                <w:szCs w:val="20"/>
              </w:rPr>
              <w:t xml:space="preserve">Long-term: </w:t>
            </w:r>
            <w:r w:rsidRPr="6BC8C89B">
              <w:rPr>
                <w:sz w:val="20"/>
                <w:szCs w:val="20"/>
                <w:highlight w:val="yellow"/>
              </w:rPr>
              <w:t>No data available</w:t>
            </w:r>
            <w:r w:rsidR="79DD7023" w:rsidRPr="6BC8C89B">
              <w:rPr>
                <w:sz w:val="20"/>
                <w:szCs w:val="20"/>
                <w:highlight w:val="yellow"/>
              </w:rPr>
              <w:t xml:space="preserve"> to</w:t>
            </w:r>
            <w:r w:rsidRPr="6BC8C89B">
              <w:rPr>
                <w:sz w:val="20"/>
                <w:szCs w:val="20"/>
                <w:highlight w:val="yellow"/>
              </w:rPr>
              <w:t xml:space="preserve"> determine a health risk.</w:t>
            </w:r>
          </w:p>
        </w:tc>
      </w:tr>
      <w:tr w:rsidR="00F054B2" w:rsidRPr="00B16053" w14:paraId="752F9BF5" w14:textId="77777777" w:rsidTr="18E03C30">
        <w:trPr>
          <w:trHeight w:val="1050"/>
        </w:trPr>
        <w:tc>
          <w:tcPr>
            <w:tcW w:w="1687" w:type="dxa"/>
            <w:vMerge w:val="restart"/>
            <w:tcBorders>
              <w:left w:val="single" w:sz="4" w:space="0" w:color="auto"/>
              <w:right w:val="single" w:sz="4" w:space="0" w:color="auto"/>
            </w:tcBorders>
            <w:shd w:val="clear" w:color="auto" w:fill="auto"/>
            <w:vAlign w:val="center"/>
          </w:tcPr>
          <w:p w14:paraId="14E49A2E" w14:textId="77777777" w:rsidR="00F054B2" w:rsidRPr="00B16053" w:rsidRDefault="00F054B2" w:rsidP="0051520C">
            <w:pPr>
              <w:rPr>
                <w:sz w:val="20"/>
                <w:szCs w:val="20"/>
              </w:rPr>
            </w:pPr>
            <w:r w:rsidRPr="00B16053">
              <w:rPr>
                <w:sz w:val="20"/>
                <w:szCs w:val="20"/>
              </w:rPr>
              <w:t>Non-Drinking Water</w:t>
            </w:r>
          </w:p>
        </w:tc>
        <w:tc>
          <w:tcPr>
            <w:tcW w:w="2813" w:type="dxa"/>
            <w:tcBorders>
              <w:left w:val="single" w:sz="4" w:space="0" w:color="auto"/>
              <w:bottom w:val="single" w:sz="4" w:space="0" w:color="auto"/>
              <w:right w:val="single" w:sz="4" w:space="0" w:color="auto"/>
            </w:tcBorders>
            <w:shd w:val="clear" w:color="auto" w:fill="auto"/>
            <w:vAlign w:val="center"/>
          </w:tcPr>
          <w:p w14:paraId="20FB834C" w14:textId="7D7E7621" w:rsidR="00F054B2" w:rsidRPr="00B16053" w:rsidRDefault="00F054B2" w:rsidP="0051520C">
            <w:pPr>
              <w:rPr>
                <w:sz w:val="20"/>
                <w:szCs w:val="20"/>
              </w:rPr>
            </w:pPr>
            <w:r w:rsidRPr="00B16053">
              <w:rPr>
                <w:sz w:val="20"/>
                <w:szCs w:val="20"/>
              </w:rPr>
              <w:t xml:space="preserve">Short-term: </w:t>
            </w:r>
            <w:r w:rsidRPr="00B16053">
              <w:rPr>
                <w:sz w:val="20"/>
                <w:szCs w:val="20"/>
                <w:highlight w:val="yellow"/>
              </w:rPr>
              <w:t>None identified based on available data. All parameters were below the negligible MEGs.</w:t>
            </w:r>
          </w:p>
        </w:tc>
        <w:tc>
          <w:tcPr>
            <w:tcW w:w="2520" w:type="dxa"/>
            <w:vMerge w:val="restart"/>
            <w:tcBorders>
              <w:left w:val="single" w:sz="4" w:space="0" w:color="auto"/>
              <w:right w:val="single" w:sz="4" w:space="0" w:color="auto"/>
            </w:tcBorders>
            <w:shd w:val="clear" w:color="auto" w:fill="auto"/>
            <w:vAlign w:val="center"/>
          </w:tcPr>
          <w:p w14:paraId="6BE8B101" w14:textId="77777777" w:rsidR="00F054B2" w:rsidRPr="00B16053" w:rsidRDefault="00F054B2" w:rsidP="0051520C">
            <w:pPr>
              <w:rPr>
                <w:sz w:val="20"/>
                <w:szCs w:val="20"/>
              </w:rPr>
            </w:pPr>
            <w:commentRangeStart w:id="15"/>
            <w:r w:rsidRPr="67E4755C">
              <w:rPr>
                <w:sz w:val="20"/>
                <w:szCs w:val="20"/>
              </w:rPr>
              <w:t>Using water treated in accordance with standards applicable to its intended use</w:t>
            </w:r>
            <w:commentRangeEnd w:id="15"/>
            <w:r>
              <w:rPr>
                <w:rStyle w:val="CommentReference"/>
              </w:rPr>
              <w:commentReference w:id="15"/>
            </w:r>
          </w:p>
        </w:tc>
        <w:tc>
          <w:tcPr>
            <w:tcW w:w="3150" w:type="dxa"/>
            <w:tcBorders>
              <w:left w:val="single" w:sz="4" w:space="0" w:color="auto"/>
              <w:bottom w:val="single" w:sz="4" w:space="0" w:color="auto"/>
              <w:right w:val="single" w:sz="4" w:space="0" w:color="auto"/>
            </w:tcBorders>
            <w:shd w:val="clear" w:color="auto" w:fill="auto"/>
          </w:tcPr>
          <w:p w14:paraId="58DB6E9E" w14:textId="478D465A" w:rsidR="00F054B2" w:rsidRPr="00B16053" w:rsidRDefault="00F054B2" w:rsidP="0051520C">
            <w:pPr>
              <w:rPr>
                <w:sz w:val="20"/>
                <w:szCs w:val="20"/>
              </w:rPr>
            </w:pPr>
            <w:r w:rsidRPr="00B16053">
              <w:rPr>
                <w:sz w:val="20"/>
                <w:szCs w:val="20"/>
              </w:rPr>
              <w:t xml:space="preserve">Short-term: </w:t>
            </w:r>
            <w:r w:rsidRPr="00B16053">
              <w:rPr>
                <w:sz w:val="20"/>
                <w:szCs w:val="20"/>
                <w:highlight w:val="yellow"/>
              </w:rPr>
              <w:t>None identified based on available data. All parameters were below the negligible MEGs.</w:t>
            </w:r>
          </w:p>
        </w:tc>
      </w:tr>
      <w:tr w:rsidR="00F054B2" w:rsidRPr="00B16053" w14:paraId="4A88DA1E" w14:textId="77777777" w:rsidTr="18E03C30">
        <w:trPr>
          <w:trHeight w:val="900"/>
        </w:trPr>
        <w:tc>
          <w:tcPr>
            <w:tcW w:w="1687" w:type="dxa"/>
            <w:vMerge/>
            <w:vAlign w:val="center"/>
          </w:tcPr>
          <w:p w14:paraId="3E7EE9CF" w14:textId="77777777" w:rsidR="00F054B2" w:rsidRPr="00B16053" w:rsidRDefault="00F054B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25DC81F1" w14:textId="49DC0954" w:rsidR="00F054B2" w:rsidRPr="00B16053" w:rsidRDefault="00F054B2" w:rsidP="0051520C">
            <w:pPr>
              <w:rPr>
                <w:sz w:val="20"/>
                <w:szCs w:val="20"/>
              </w:rPr>
            </w:pPr>
            <w:r w:rsidRPr="00B16053">
              <w:rPr>
                <w:sz w:val="20"/>
                <w:szCs w:val="20"/>
              </w:rPr>
              <w:t xml:space="preserve">Long-term: </w:t>
            </w:r>
            <w:r w:rsidRPr="00B16053">
              <w:rPr>
                <w:sz w:val="20"/>
                <w:szCs w:val="20"/>
                <w:highlight w:val="yellow"/>
              </w:rPr>
              <w:t>None identified based on available data. All parameters were below the negligible MEGs.</w:t>
            </w:r>
          </w:p>
        </w:tc>
        <w:tc>
          <w:tcPr>
            <w:tcW w:w="2520" w:type="dxa"/>
            <w:vMerge/>
            <w:vAlign w:val="center"/>
          </w:tcPr>
          <w:p w14:paraId="1771C8EE"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tcPr>
          <w:p w14:paraId="033605CA" w14:textId="7196E428" w:rsidR="00F054B2" w:rsidRPr="00B16053" w:rsidRDefault="00F054B2" w:rsidP="0051520C">
            <w:pPr>
              <w:rPr>
                <w:sz w:val="20"/>
                <w:szCs w:val="20"/>
              </w:rPr>
            </w:pPr>
            <w:r w:rsidRPr="00B16053">
              <w:rPr>
                <w:sz w:val="20"/>
                <w:szCs w:val="20"/>
              </w:rPr>
              <w:t xml:space="preserve">Long-term: </w:t>
            </w:r>
            <w:r w:rsidRPr="00B16053">
              <w:rPr>
                <w:sz w:val="20"/>
                <w:szCs w:val="20"/>
                <w:highlight w:val="yellow"/>
              </w:rPr>
              <w:t>None identified based on available data. All parameters were below the negligible MEGs.</w:t>
            </w:r>
          </w:p>
        </w:tc>
      </w:tr>
      <w:tr w:rsidR="00EB48CD" w:rsidRPr="00B16053" w14:paraId="233DB484" w14:textId="77777777" w:rsidTr="18E03C30">
        <w:trPr>
          <w:trHeight w:val="317"/>
        </w:trPr>
        <w:tc>
          <w:tcPr>
            <w:tcW w:w="10170" w:type="dxa"/>
            <w:gridSpan w:val="4"/>
            <w:tcBorders>
              <w:left w:val="single" w:sz="4" w:space="0" w:color="auto"/>
              <w:right w:val="single" w:sz="4" w:space="0" w:color="auto"/>
            </w:tcBorders>
            <w:shd w:val="clear" w:color="auto" w:fill="D9D9D9" w:themeFill="background1" w:themeFillShade="D9"/>
            <w:vAlign w:val="center"/>
          </w:tcPr>
          <w:p w14:paraId="29830AAF" w14:textId="39C4BD66" w:rsidR="00EB48CD" w:rsidRPr="00B16053" w:rsidRDefault="00EB48CD" w:rsidP="0051520C">
            <w:pPr>
              <w:rPr>
                <w:sz w:val="20"/>
                <w:szCs w:val="20"/>
              </w:rPr>
            </w:pPr>
            <w:r w:rsidRPr="00B16053">
              <w:rPr>
                <w:sz w:val="20"/>
                <w:szCs w:val="20"/>
              </w:rPr>
              <w:t>ENDEMIC DISEASE</w:t>
            </w:r>
          </w:p>
        </w:tc>
      </w:tr>
      <w:tr w:rsidR="00F054B2" w:rsidRPr="00B16053" w14:paraId="657581FF" w14:textId="77777777" w:rsidTr="18E03C30">
        <w:trPr>
          <w:trHeight w:val="317"/>
        </w:trPr>
        <w:tc>
          <w:tcPr>
            <w:tcW w:w="1687" w:type="dxa"/>
            <w:tcBorders>
              <w:left w:val="single" w:sz="4" w:space="0" w:color="auto"/>
              <w:right w:val="single" w:sz="4" w:space="0" w:color="auto"/>
            </w:tcBorders>
            <w:shd w:val="clear" w:color="auto" w:fill="auto"/>
            <w:vAlign w:val="center"/>
          </w:tcPr>
          <w:p w14:paraId="1142F6BC" w14:textId="77777777" w:rsidR="00F054B2" w:rsidRPr="00B16053" w:rsidRDefault="00F054B2" w:rsidP="0051520C">
            <w:pPr>
              <w:rPr>
                <w:sz w:val="20"/>
                <w:szCs w:val="20"/>
              </w:rPr>
            </w:pPr>
            <w:r w:rsidRPr="00B16053">
              <w:rPr>
                <w:sz w:val="20"/>
                <w:szCs w:val="20"/>
              </w:rPr>
              <w:t>Food borne/Waterborne (e.g., diarrhea-bacteriological)</w:t>
            </w:r>
          </w:p>
          <w:p w14:paraId="51004869" w14:textId="77777777" w:rsidR="00F054B2" w:rsidRPr="00B16053" w:rsidRDefault="00F054B2" w:rsidP="0051520C">
            <w:pPr>
              <w:rPr>
                <w:sz w:val="20"/>
                <w:szCs w:val="20"/>
              </w:rPr>
            </w:pPr>
          </w:p>
          <w:p w14:paraId="12E6D43E" w14:textId="77777777" w:rsidR="00F054B2" w:rsidRPr="00B16053" w:rsidRDefault="00F054B2" w:rsidP="0051520C">
            <w:pPr>
              <w:rPr>
                <w:sz w:val="20"/>
                <w:szCs w:val="20"/>
              </w:rPr>
            </w:pPr>
            <w:r w:rsidRPr="00B16053">
              <w:rPr>
                <w:sz w:val="20"/>
                <w:szCs w:val="20"/>
              </w:rPr>
              <w:t>Arthropod Vector Borne</w:t>
            </w:r>
          </w:p>
          <w:p w14:paraId="3C68F7CF" w14:textId="77777777" w:rsidR="00F054B2" w:rsidRPr="00B16053" w:rsidRDefault="00F054B2" w:rsidP="0051520C">
            <w:pPr>
              <w:rPr>
                <w:sz w:val="20"/>
                <w:szCs w:val="20"/>
              </w:rPr>
            </w:pPr>
          </w:p>
          <w:p w14:paraId="21F79D43" w14:textId="77777777" w:rsidR="00F054B2" w:rsidRPr="00B16053" w:rsidRDefault="00F054B2" w:rsidP="0051520C">
            <w:pPr>
              <w:rPr>
                <w:sz w:val="20"/>
                <w:szCs w:val="20"/>
              </w:rPr>
            </w:pPr>
            <w:r w:rsidRPr="00B16053">
              <w:rPr>
                <w:sz w:val="20"/>
                <w:szCs w:val="20"/>
              </w:rPr>
              <w:t>Water-Contact (e.g., wading, swimming)</w:t>
            </w:r>
          </w:p>
          <w:p w14:paraId="3358DDBF" w14:textId="77777777" w:rsidR="00F054B2" w:rsidRPr="00B16053" w:rsidRDefault="00F054B2" w:rsidP="0051520C">
            <w:pPr>
              <w:rPr>
                <w:sz w:val="20"/>
                <w:szCs w:val="20"/>
              </w:rPr>
            </w:pPr>
          </w:p>
          <w:p w14:paraId="733FAA05" w14:textId="77777777" w:rsidR="00F054B2" w:rsidRPr="00B16053" w:rsidRDefault="00F054B2" w:rsidP="0051520C">
            <w:pPr>
              <w:rPr>
                <w:sz w:val="20"/>
                <w:szCs w:val="20"/>
              </w:rPr>
            </w:pPr>
            <w:r w:rsidRPr="00B16053">
              <w:rPr>
                <w:sz w:val="20"/>
                <w:szCs w:val="20"/>
              </w:rPr>
              <w:t>Respiratory</w:t>
            </w:r>
          </w:p>
          <w:p w14:paraId="6C6A8683" w14:textId="77777777" w:rsidR="00F054B2" w:rsidRPr="00B16053" w:rsidRDefault="00F054B2" w:rsidP="0051520C">
            <w:pPr>
              <w:rPr>
                <w:sz w:val="20"/>
                <w:szCs w:val="20"/>
              </w:rPr>
            </w:pPr>
          </w:p>
          <w:p w14:paraId="4DB743CE" w14:textId="77777777" w:rsidR="00F054B2" w:rsidRPr="00B16053" w:rsidRDefault="00F054B2" w:rsidP="0051520C">
            <w:pPr>
              <w:rPr>
                <w:sz w:val="20"/>
                <w:szCs w:val="20"/>
              </w:rPr>
            </w:pPr>
            <w:r w:rsidRPr="00B16053">
              <w:rPr>
                <w:sz w:val="20"/>
                <w:szCs w:val="20"/>
              </w:rPr>
              <w:t>Animal Contact</w:t>
            </w:r>
          </w:p>
          <w:p w14:paraId="0AB10530" w14:textId="77777777" w:rsidR="00F054B2" w:rsidRPr="00B16053" w:rsidRDefault="00F054B2" w:rsidP="0051520C">
            <w:pPr>
              <w:rPr>
                <w:sz w:val="20"/>
                <w:szCs w:val="20"/>
              </w:rPr>
            </w:pPr>
          </w:p>
          <w:p w14:paraId="4420C3A0" w14:textId="77777777" w:rsidR="00F054B2" w:rsidRPr="00B16053" w:rsidRDefault="00F054B2" w:rsidP="0051520C">
            <w:pPr>
              <w:rPr>
                <w:sz w:val="20"/>
                <w:szCs w:val="20"/>
              </w:rPr>
            </w:pPr>
            <w:r w:rsidRPr="00B16053">
              <w:rPr>
                <w:sz w:val="20"/>
                <w:szCs w:val="20"/>
              </w:rPr>
              <w:t>Aerosolized Dust or Soil-contact</w:t>
            </w:r>
          </w:p>
          <w:p w14:paraId="37FDAC04" w14:textId="77777777" w:rsidR="00F054B2" w:rsidRPr="00B16053" w:rsidRDefault="00F054B2" w:rsidP="0051520C">
            <w:pPr>
              <w:rPr>
                <w:sz w:val="20"/>
                <w:szCs w:val="20"/>
              </w:rPr>
            </w:pPr>
          </w:p>
        </w:tc>
        <w:tc>
          <w:tcPr>
            <w:tcW w:w="2813" w:type="dxa"/>
            <w:tcBorders>
              <w:left w:val="single" w:sz="4" w:space="0" w:color="auto"/>
              <w:right w:val="single" w:sz="4" w:space="0" w:color="auto"/>
            </w:tcBorders>
            <w:shd w:val="clear" w:color="auto" w:fill="auto"/>
            <w:vAlign w:val="center"/>
          </w:tcPr>
          <w:p w14:paraId="19BCD598" w14:textId="04569DB1" w:rsidR="00F054B2" w:rsidRPr="00B16053" w:rsidRDefault="00F054B2" w:rsidP="0051520C">
            <w:pPr>
              <w:rPr>
                <w:sz w:val="20"/>
                <w:szCs w:val="20"/>
              </w:rPr>
            </w:pPr>
            <w:r w:rsidRPr="00B16053">
              <w:rPr>
                <w:sz w:val="20"/>
                <w:szCs w:val="20"/>
              </w:rPr>
              <w:lastRenderedPageBreak/>
              <w:t xml:space="preserve">Country specific endemic disease information is provided in Section 6. </w:t>
            </w:r>
            <w:commentRangeStart w:id="16"/>
            <w:r w:rsidRPr="00B16053">
              <w:rPr>
                <w:sz w:val="20"/>
                <w:szCs w:val="20"/>
              </w:rPr>
              <w:t xml:space="preserve">When available in the OEHSA, risk levels for </w:t>
            </w:r>
            <w:proofErr w:type="gramStart"/>
            <w:r w:rsidRPr="00B16053">
              <w:rPr>
                <w:sz w:val="20"/>
                <w:szCs w:val="20"/>
              </w:rPr>
              <w:t>particular endemic</w:t>
            </w:r>
            <w:proofErr w:type="gramEnd"/>
            <w:r w:rsidRPr="00B16053">
              <w:rPr>
                <w:sz w:val="20"/>
                <w:szCs w:val="20"/>
              </w:rPr>
              <w:t xml:space="preserve"> diseases are provided in Table </w:t>
            </w:r>
            <w:r w:rsidR="008604F3">
              <w:rPr>
                <w:sz w:val="20"/>
                <w:szCs w:val="20"/>
              </w:rPr>
              <w:t>4</w:t>
            </w:r>
            <w:r w:rsidRPr="00B16053">
              <w:rPr>
                <w:sz w:val="20"/>
                <w:szCs w:val="20"/>
              </w:rPr>
              <w:t xml:space="preserve">. </w:t>
            </w:r>
            <w:commentRangeEnd w:id="16"/>
            <w:r w:rsidR="00D93E96">
              <w:rPr>
                <w:rStyle w:val="CommentReference"/>
              </w:rPr>
              <w:commentReference w:id="16"/>
            </w:r>
          </w:p>
          <w:p w14:paraId="7C5AEE46" w14:textId="77777777" w:rsidR="00F054B2" w:rsidRPr="00B16053" w:rsidRDefault="00F054B2" w:rsidP="0051520C">
            <w:pPr>
              <w:rPr>
                <w:sz w:val="20"/>
                <w:szCs w:val="20"/>
              </w:rPr>
            </w:pPr>
          </w:p>
          <w:p w14:paraId="4773ED43" w14:textId="77777777" w:rsidR="00F054B2" w:rsidRPr="00B16053" w:rsidRDefault="00F054B2" w:rsidP="0051520C">
            <w:pPr>
              <w:rPr>
                <w:sz w:val="20"/>
                <w:szCs w:val="20"/>
                <w:highlight w:val="yellow"/>
              </w:rPr>
            </w:pPr>
          </w:p>
        </w:tc>
        <w:tc>
          <w:tcPr>
            <w:tcW w:w="2520" w:type="dxa"/>
            <w:tcBorders>
              <w:left w:val="single" w:sz="4" w:space="0" w:color="auto"/>
              <w:right w:val="single" w:sz="4" w:space="0" w:color="auto"/>
            </w:tcBorders>
            <w:vAlign w:val="center"/>
          </w:tcPr>
          <w:p w14:paraId="45620AAA" w14:textId="77777777" w:rsidR="00F054B2" w:rsidRPr="00B16053" w:rsidRDefault="00F054B2" w:rsidP="0051520C">
            <w:pPr>
              <w:rPr>
                <w:sz w:val="20"/>
                <w:szCs w:val="20"/>
              </w:rPr>
            </w:pPr>
            <w:r w:rsidRPr="00B16053">
              <w:rPr>
                <w:sz w:val="20"/>
                <w:szCs w:val="20"/>
              </w:rPr>
              <w:t>Refer to Section 6 for preventive measures</w:t>
            </w:r>
          </w:p>
        </w:tc>
        <w:tc>
          <w:tcPr>
            <w:tcW w:w="3150" w:type="dxa"/>
            <w:tcBorders>
              <w:left w:val="single" w:sz="4" w:space="0" w:color="auto"/>
              <w:right w:val="single" w:sz="4" w:space="0" w:color="auto"/>
            </w:tcBorders>
            <w:shd w:val="clear" w:color="auto" w:fill="auto"/>
            <w:vAlign w:val="center"/>
          </w:tcPr>
          <w:p w14:paraId="5D40081A" w14:textId="168C6320" w:rsidR="00F054B2" w:rsidRPr="00B16053" w:rsidRDefault="00F054B2" w:rsidP="0051520C">
            <w:pPr>
              <w:rPr>
                <w:sz w:val="20"/>
                <w:szCs w:val="20"/>
              </w:rPr>
            </w:pPr>
            <w:r w:rsidRPr="00B16053">
              <w:rPr>
                <w:sz w:val="20"/>
                <w:szCs w:val="20"/>
              </w:rPr>
              <w:t xml:space="preserve">Country specific endemic disease information is provided in Section 6. </w:t>
            </w:r>
            <w:commentRangeStart w:id="17"/>
            <w:r w:rsidRPr="00B16053">
              <w:rPr>
                <w:sz w:val="20"/>
                <w:szCs w:val="20"/>
              </w:rPr>
              <w:t xml:space="preserve">When available in the OEHSA, risk levels for </w:t>
            </w:r>
            <w:proofErr w:type="gramStart"/>
            <w:r w:rsidRPr="00B16053">
              <w:rPr>
                <w:sz w:val="20"/>
                <w:szCs w:val="20"/>
              </w:rPr>
              <w:t>particular endemic</w:t>
            </w:r>
            <w:proofErr w:type="gramEnd"/>
            <w:r w:rsidRPr="00B16053">
              <w:rPr>
                <w:sz w:val="20"/>
                <w:szCs w:val="20"/>
              </w:rPr>
              <w:t xml:space="preserve"> diseases are provided in Table </w:t>
            </w:r>
            <w:r w:rsidR="008604F3">
              <w:rPr>
                <w:sz w:val="20"/>
                <w:szCs w:val="20"/>
              </w:rPr>
              <w:t>4</w:t>
            </w:r>
            <w:r w:rsidRPr="00B16053">
              <w:rPr>
                <w:sz w:val="20"/>
                <w:szCs w:val="20"/>
              </w:rPr>
              <w:t>.</w:t>
            </w:r>
            <w:commentRangeEnd w:id="17"/>
            <w:r w:rsidR="00C70EC9">
              <w:rPr>
                <w:rStyle w:val="CommentReference"/>
              </w:rPr>
              <w:commentReference w:id="17"/>
            </w:r>
            <w:r w:rsidRPr="00B16053">
              <w:rPr>
                <w:sz w:val="20"/>
                <w:szCs w:val="20"/>
              </w:rPr>
              <w:t xml:space="preserve"> </w:t>
            </w:r>
          </w:p>
          <w:p w14:paraId="7C83C04F" w14:textId="77777777" w:rsidR="00F054B2" w:rsidRPr="00B16053" w:rsidRDefault="00F054B2" w:rsidP="0051520C">
            <w:pPr>
              <w:rPr>
                <w:sz w:val="20"/>
                <w:szCs w:val="20"/>
              </w:rPr>
            </w:pPr>
          </w:p>
        </w:tc>
      </w:tr>
      <w:tr w:rsidR="00EB48CD" w:rsidRPr="00B16053" w14:paraId="769961F6" w14:textId="77777777" w:rsidTr="18E03C30">
        <w:trPr>
          <w:trHeight w:val="317"/>
        </w:trPr>
        <w:tc>
          <w:tcPr>
            <w:tcW w:w="10170" w:type="dxa"/>
            <w:gridSpan w:val="4"/>
            <w:tcBorders>
              <w:left w:val="single" w:sz="4" w:space="0" w:color="auto"/>
              <w:right w:val="single" w:sz="4" w:space="0" w:color="auto"/>
            </w:tcBorders>
            <w:shd w:val="clear" w:color="auto" w:fill="D9D9D9" w:themeFill="background1" w:themeFillShade="D9"/>
            <w:vAlign w:val="center"/>
          </w:tcPr>
          <w:p w14:paraId="0420BA58" w14:textId="469FFFEF" w:rsidR="00EB48CD" w:rsidRPr="00B16053" w:rsidRDefault="00EB48CD" w:rsidP="0051520C">
            <w:pPr>
              <w:rPr>
                <w:sz w:val="20"/>
                <w:szCs w:val="20"/>
              </w:rPr>
            </w:pPr>
            <w:r w:rsidRPr="00B16053">
              <w:rPr>
                <w:sz w:val="20"/>
                <w:szCs w:val="20"/>
              </w:rPr>
              <w:t>VENOMOUS ANIMALS</w:t>
            </w:r>
          </w:p>
        </w:tc>
      </w:tr>
      <w:tr w:rsidR="00F054B2" w:rsidRPr="00B16053" w14:paraId="0E2C7E2B"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755009B5" w14:textId="77777777" w:rsidR="00F054B2" w:rsidRPr="00B16053" w:rsidRDefault="00F054B2" w:rsidP="0051520C">
            <w:pPr>
              <w:rPr>
                <w:sz w:val="20"/>
                <w:szCs w:val="20"/>
              </w:rPr>
            </w:pPr>
            <w:r w:rsidRPr="00B16053">
              <w:rPr>
                <w:sz w:val="20"/>
                <w:szCs w:val="20"/>
              </w:rPr>
              <w:t>Snakes, scorpions, and spiders</w:t>
            </w:r>
          </w:p>
        </w:tc>
        <w:tc>
          <w:tcPr>
            <w:tcW w:w="2813" w:type="dxa"/>
            <w:tcBorders>
              <w:left w:val="single" w:sz="4" w:space="0" w:color="auto"/>
              <w:bottom w:val="single" w:sz="4" w:space="0" w:color="auto"/>
              <w:right w:val="single" w:sz="4" w:space="0" w:color="auto"/>
            </w:tcBorders>
            <w:shd w:val="clear" w:color="auto" w:fill="auto"/>
            <w:vAlign w:val="center"/>
          </w:tcPr>
          <w:p w14:paraId="1A9161F6" w14:textId="4D338FC3" w:rsidR="00F054B2" w:rsidRPr="00B16053" w:rsidDel="00684230" w:rsidRDefault="00F054B2" w:rsidP="0051520C">
            <w:pPr>
              <w:rPr>
                <w:sz w:val="20"/>
                <w:szCs w:val="20"/>
              </w:rPr>
            </w:pPr>
            <w:r w:rsidRPr="00B16053">
              <w:rPr>
                <w:sz w:val="20"/>
                <w:szCs w:val="20"/>
              </w:rPr>
              <w:t>Short-term: Low; If encountered, effects of venom vary with species from mild localized swelling to potentially lethal effects.</w:t>
            </w:r>
          </w:p>
        </w:tc>
        <w:tc>
          <w:tcPr>
            <w:tcW w:w="2520" w:type="dxa"/>
            <w:vMerge w:val="restart"/>
            <w:tcBorders>
              <w:left w:val="single" w:sz="4" w:space="0" w:color="auto"/>
              <w:right w:val="single" w:sz="4" w:space="0" w:color="auto"/>
            </w:tcBorders>
            <w:vAlign w:val="center"/>
          </w:tcPr>
          <w:p w14:paraId="5667E1EC" w14:textId="77777777" w:rsidR="00F054B2" w:rsidRPr="00B16053" w:rsidRDefault="00F054B2" w:rsidP="0051520C">
            <w:pPr>
              <w:rPr>
                <w:sz w:val="20"/>
                <w:szCs w:val="20"/>
              </w:rPr>
            </w:pPr>
            <w:r w:rsidRPr="00B16053">
              <w:rPr>
                <w:sz w:val="20"/>
                <w:szCs w:val="20"/>
              </w:rPr>
              <w:t xml:space="preserve">Reduce risk by avoiding contact, proper wear of uniform (especially footwear), reducing suitable habitat, and proper and </w:t>
            </w:r>
            <w:commentRangeStart w:id="18"/>
            <w:r w:rsidRPr="00B16053">
              <w:rPr>
                <w:sz w:val="20"/>
                <w:szCs w:val="20"/>
              </w:rPr>
              <w:t>timely treatment.</w:t>
            </w:r>
            <w:commentRangeEnd w:id="18"/>
            <w:r w:rsidR="00811582">
              <w:rPr>
                <w:rStyle w:val="CommentReference"/>
              </w:rPr>
              <w:commentReference w:id="18"/>
            </w:r>
          </w:p>
        </w:tc>
        <w:tc>
          <w:tcPr>
            <w:tcW w:w="3150" w:type="dxa"/>
            <w:tcBorders>
              <w:left w:val="single" w:sz="4" w:space="0" w:color="auto"/>
              <w:bottom w:val="single" w:sz="4" w:space="0" w:color="auto"/>
              <w:right w:val="single" w:sz="4" w:space="0" w:color="auto"/>
            </w:tcBorders>
            <w:shd w:val="clear" w:color="auto" w:fill="auto"/>
            <w:vAlign w:val="center"/>
          </w:tcPr>
          <w:p w14:paraId="6A53067B" w14:textId="495A3F3A" w:rsidR="00F054B2" w:rsidRPr="00B16053" w:rsidRDefault="00F054B2" w:rsidP="0051520C">
            <w:pPr>
              <w:rPr>
                <w:b/>
                <w:sz w:val="20"/>
                <w:szCs w:val="20"/>
              </w:rPr>
            </w:pPr>
            <w:r w:rsidRPr="00B16053">
              <w:rPr>
                <w:sz w:val="20"/>
                <w:szCs w:val="20"/>
              </w:rPr>
              <w:t>Short-term: Low; If encountered, effects of venom vary with species from mild localized swelling to potentially lethal effects</w:t>
            </w:r>
            <w:r w:rsidR="008A6222">
              <w:rPr>
                <w:sz w:val="20"/>
                <w:szCs w:val="20"/>
              </w:rPr>
              <w:t>; most effects are self-limited if survived</w:t>
            </w:r>
            <w:r w:rsidRPr="00B16053">
              <w:rPr>
                <w:sz w:val="20"/>
                <w:szCs w:val="20"/>
              </w:rPr>
              <w:t>.</w:t>
            </w:r>
          </w:p>
        </w:tc>
      </w:tr>
      <w:tr w:rsidR="00F054B2" w:rsidRPr="00B16053" w14:paraId="1162BF85" w14:textId="77777777" w:rsidTr="18E03C30">
        <w:trPr>
          <w:trHeight w:val="458"/>
        </w:trPr>
        <w:tc>
          <w:tcPr>
            <w:tcW w:w="1687" w:type="dxa"/>
            <w:vMerge/>
            <w:vAlign w:val="center"/>
          </w:tcPr>
          <w:p w14:paraId="5BF0F729" w14:textId="77777777" w:rsidR="00F054B2" w:rsidRPr="00B16053" w:rsidRDefault="00F054B2" w:rsidP="0051520C">
            <w:pPr>
              <w:rPr>
                <w:sz w:val="20"/>
                <w:szCs w:val="20"/>
              </w:rPr>
            </w:pPr>
          </w:p>
        </w:tc>
        <w:tc>
          <w:tcPr>
            <w:tcW w:w="2813" w:type="dxa"/>
            <w:tcBorders>
              <w:left w:val="single" w:sz="4" w:space="0" w:color="auto"/>
              <w:right w:val="single" w:sz="4" w:space="0" w:color="auto"/>
            </w:tcBorders>
            <w:shd w:val="clear" w:color="auto" w:fill="auto"/>
            <w:vAlign w:val="center"/>
          </w:tcPr>
          <w:p w14:paraId="4646BAEF" w14:textId="6522CD15" w:rsidR="00F054B2" w:rsidRPr="00B16053" w:rsidRDefault="00F054B2" w:rsidP="0051520C">
            <w:pPr>
              <w:rPr>
                <w:b/>
                <w:sz w:val="20"/>
                <w:szCs w:val="20"/>
              </w:rPr>
            </w:pPr>
            <w:r w:rsidRPr="00B16053">
              <w:rPr>
                <w:sz w:val="20"/>
                <w:szCs w:val="20"/>
              </w:rPr>
              <w:t>Long-term: No data available</w:t>
            </w:r>
          </w:p>
        </w:tc>
        <w:tc>
          <w:tcPr>
            <w:tcW w:w="2520" w:type="dxa"/>
            <w:vMerge/>
            <w:vAlign w:val="center"/>
          </w:tcPr>
          <w:p w14:paraId="227E30E7" w14:textId="77777777" w:rsidR="00F054B2" w:rsidRPr="00B16053" w:rsidRDefault="00F054B2" w:rsidP="0051520C">
            <w:pPr>
              <w:rPr>
                <w:sz w:val="20"/>
                <w:szCs w:val="20"/>
              </w:rPr>
            </w:pPr>
          </w:p>
        </w:tc>
        <w:tc>
          <w:tcPr>
            <w:tcW w:w="3150" w:type="dxa"/>
            <w:tcBorders>
              <w:left w:val="single" w:sz="4" w:space="0" w:color="auto"/>
              <w:right w:val="single" w:sz="4" w:space="0" w:color="auto"/>
            </w:tcBorders>
            <w:shd w:val="clear" w:color="auto" w:fill="auto"/>
            <w:vAlign w:val="center"/>
          </w:tcPr>
          <w:p w14:paraId="5E26CBBB" w14:textId="571043E8" w:rsidR="00F054B2" w:rsidRPr="00B16053" w:rsidRDefault="00F054B2" w:rsidP="0051520C">
            <w:pPr>
              <w:rPr>
                <w:b/>
                <w:sz w:val="20"/>
                <w:szCs w:val="20"/>
              </w:rPr>
            </w:pPr>
            <w:r w:rsidRPr="00B16053">
              <w:rPr>
                <w:sz w:val="20"/>
                <w:szCs w:val="20"/>
              </w:rPr>
              <w:t>Long-term: No data available</w:t>
            </w:r>
          </w:p>
        </w:tc>
      </w:tr>
      <w:tr w:rsidR="006A09ED" w:rsidRPr="00B16053" w14:paraId="2966906D" w14:textId="77777777" w:rsidTr="18E03C30">
        <w:trPr>
          <w:trHeight w:val="317"/>
        </w:trPr>
        <w:tc>
          <w:tcPr>
            <w:tcW w:w="1017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C093C9A" w14:textId="3326F552" w:rsidR="006A09ED" w:rsidRPr="00B16053" w:rsidRDefault="006A09ED" w:rsidP="0051520C">
            <w:pPr>
              <w:rPr>
                <w:sz w:val="20"/>
                <w:szCs w:val="20"/>
              </w:rPr>
            </w:pPr>
            <w:r w:rsidRPr="00B16053">
              <w:rPr>
                <w:sz w:val="20"/>
                <w:szCs w:val="20"/>
              </w:rPr>
              <w:t xml:space="preserve">HEAT/COLD STRESS </w:t>
            </w:r>
          </w:p>
        </w:tc>
      </w:tr>
      <w:tr w:rsidR="00F054B2" w:rsidRPr="00B16053" w14:paraId="55034BBB"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5EBF6D14" w14:textId="77777777" w:rsidR="00F054B2" w:rsidRPr="00B16053" w:rsidRDefault="00F054B2" w:rsidP="0051520C">
            <w:pPr>
              <w:rPr>
                <w:sz w:val="20"/>
                <w:szCs w:val="20"/>
              </w:rPr>
            </w:pPr>
            <w:r w:rsidRPr="00B16053">
              <w:rPr>
                <w:sz w:val="20"/>
                <w:szCs w:val="20"/>
              </w:rPr>
              <w:t>Heat</w:t>
            </w:r>
          </w:p>
        </w:tc>
        <w:tc>
          <w:tcPr>
            <w:tcW w:w="2813" w:type="dxa"/>
            <w:tcBorders>
              <w:left w:val="single" w:sz="4" w:space="0" w:color="auto"/>
              <w:bottom w:val="single" w:sz="4" w:space="0" w:color="auto"/>
              <w:right w:val="single" w:sz="4" w:space="0" w:color="auto"/>
            </w:tcBorders>
            <w:shd w:val="clear" w:color="auto" w:fill="auto"/>
            <w:vAlign w:val="center"/>
          </w:tcPr>
          <w:p w14:paraId="70C87D0B" w14:textId="24A1C843" w:rsidR="00F054B2" w:rsidRPr="00B16053" w:rsidRDefault="00F054B2" w:rsidP="0051520C">
            <w:pPr>
              <w:rPr>
                <w:sz w:val="20"/>
                <w:szCs w:val="20"/>
              </w:rPr>
            </w:pPr>
            <w:r w:rsidRPr="00B16053">
              <w:rPr>
                <w:sz w:val="20"/>
                <w:szCs w:val="20"/>
              </w:rPr>
              <w:t xml:space="preserve">Short-term: Variable; Risk of heat injury in unacclimatized or susceptible personnel is </w:t>
            </w:r>
            <w:r w:rsidRPr="00B16053">
              <w:rPr>
                <w:sz w:val="20"/>
                <w:szCs w:val="20"/>
                <w:highlight w:val="yellow"/>
              </w:rPr>
              <w:t xml:space="preserve">High for Month – Month, Moderate for Month – Month, and Low for all other months. </w:t>
            </w:r>
          </w:p>
        </w:tc>
        <w:tc>
          <w:tcPr>
            <w:tcW w:w="2520" w:type="dxa"/>
            <w:vMerge w:val="restart"/>
            <w:tcBorders>
              <w:left w:val="single" w:sz="4" w:space="0" w:color="auto"/>
              <w:right w:val="single" w:sz="4" w:space="0" w:color="auto"/>
            </w:tcBorders>
            <w:vAlign w:val="center"/>
          </w:tcPr>
          <w:p w14:paraId="5671F499" w14:textId="77777777" w:rsidR="00F054B2" w:rsidRPr="00B16053" w:rsidRDefault="00F054B2" w:rsidP="0051520C">
            <w:pPr>
              <w:rPr>
                <w:sz w:val="20"/>
                <w:szCs w:val="20"/>
              </w:rPr>
            </w:pPr>
            <w:r w:rsidRPr="00B16053">
              <w:rPr>
                <w:sz w:val="20"/>
                <w:szCs w:val="20"/>
              </w:rPr>
              <w:t xml:space="preserve">Work-rest cycles, proper hydration and nutrition, and </w:t>
            </w:r>
            <w:r w:rsidRPr="00B16053">
              <w:rPr>
                <w:bCs/>
                <w:sz w:val="20"/>
                <w:szCs w:val="20"/>
              </w:rPr>
              <w:t>Wet Bulb Globe Temperature</w:t>
            </w:r>
            <w:r w:rsidRPr="00B16053">
              <w:rPr>
                <w:sz w:val="20"/>
                <w:szCs w:val="20"/>
              </w:rPr>
              <w:t xml:space="preserve"> (WBGT) monitoring.</w:t>
            </w:r>
          </w:p>
        </w:tc>
        <w:tc>
          <w:tcPr>
            <w:tcW w:w="3150" w:type="dxa"/>
            <w:tcBorders>
              <w:left w:val="single" w:sz="4" w:space="0" w:color="auto"/>
              <w:bottom w:val="single" w:sz="4" w:space="0" w:color="auto"/>
              <w:right w:val="single" w:sz="4" w:space="0" w:color="auto"/>
            </w:tcBorders>
            <w:shd w:val="clear" w:color="auto" w:fill="auto"/>
            <w:vAlign w:val="center"/>
          </w:tcPr>
          <w:p w14:paraId="6CC1771C" w14:textId="13055BDE" w:rsidR="00F054B2" w:rsidRPr="00B16053" w:rsidRDefault="00F054B2" w:rsidP="0051520C">
            <w:pPr>
              <w:rPr>
                <w:sz w:val="20"/>
                <w:szCs w:val="20"/>
              </w:rPr>
            </w:pPr>
            <w:commentRangeStart w:id="19"/>
            <w:r w:rsidRPr="67E4755C">
              <w:rPr>
                <w:sz w:val="20"/>
                <w:szCs w:val="20"/>
              </w:rPr>
              <w:t xml:space="preserve">Short-term: </w:t>
            </w:r>
            <w:commentRangeEnd w:id="19"/>
            <w:r>
              <w:rPr>
                <w:rStyle w:val="CommentReference"/>
              </w:rPr>
              <w:commentReference w:id="19"/>
            </w:r>
            <w:r w:rsidRPr="67E4755C">
              <w:rPr>
                <w:sz w:val="20"/>
                <w:szCs w:val="20"/>
              </w:rPr>
              <w:t>Variable; Risk of heat injury in unacclimatized or susceptible personnel is</w:t>
            </w:r>
            <w:r w:rsidRPr="67E4755C">
              <w:rPr>
                <w:sz w:val="20"/>
                <w:szCs w:val="20"/>
                <w:highlight w:val="yellow"/>
              </w:rPr>
              <w:t xml:space="preserve"> High for Month – Month, Moderate for Month – Month, and Low for all other months. </w:t>
            </w:r>
          </w:p>
        </w:tc>
      </w:tr>
      <w:tr w:rsidR="00F054B2" w:rsidRPr="00B16053" w14:paraId="3B8DE068" w14:textId="77777777" w:rsidTr="18E03C30">
        <w:trPr>
          <w:trHeight w:val="317"/>
        </w:trPr>
        <w:tc>
          <w:tcPr>
            <w:tcW w:w="1687" w:type="dxa"/>
            <w:vMerge/>
            <w:vAlign w:val="center"/>
          </w:tcPr>
          <w:p w14:paraId="7A7D27C3" w14:textId="77777777" w:rsidR="00F054B2" w:rsidRPr="00B16053" w:rsidRDefault="00F054B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2E6B5415" w14:textId="5E211610" w:rsidR="00F054B2" w:rsidRPr="00B16053" w:rsidRDefault="00F054B2" w:rsidP="0051520C">
            <w:pPr>
              <w:rPr>
                <w:color w:val="000000"/>
                <w:sz w:val="20"/>
                <w:szCs w:val="20"/>
              </w:rPr>
            </w:pPr>
            <w:r w:rsidRPr="00B16053">
              <w:rPr>
                <w:color w:val="000000"/>
                <w:sz w:val="20"/>
                <w:szCs w:val="20"/>
              </w:rPr>
              <w:t xml:space="preserve">Long-term: </w:t>
            </w:r>
            <w:r w:rsidRPr="00B16053">
              <w:rPr>
                <w:sz w:val="20"/>
                <w:szCs w:val="20"/>
              </w:rPr>
              <w:t>Low. The long-term risk may be greater to certain susceptible persons–those older (i.e., greater than 45 years</w:t>
            </w:r>
            <w:r w:rsidR="008A6222">
              <w:rPr>
                <w:sz w:val="20"/>
                <w:szCs w:val="20"/>
              </w:rPr>
              <w:t xml:space="preserve"> of age</w:t>
            </w:r>
            <w:r w:rsidRPr="00B16053">
              <w:rPr>
                <w:sz w:val="20"/>
                <w:szCs w:val="20"/>
              </w:rPr>
              <w:t xml:space="preserve">), in lesser physical shape, or with underlying </w:t>
            </w:r>
            <w:r w:rsidR="008A6222">
              <w:rPr>
                <w:sz w:val="20"/>
                <w:szCs w:val="20"/>
              </w:rPr>
              <w:t xml:space="preserve">chronic </w:t>
            </w:r>
            <w:r w:rsidRPr="00B16053">
              <w:rPr>
                <w:sz w:val="20"/>
                <w:szCs w:val="20"/>
              </w:rPr>
              <w:t>medical/health conditions.</w:t>
            </w:r>
          </w:p>
        </w:tc>
        <w:tc>
          <w:tcPr>
            <w:tcW w:w="2520" w:type="dxa"/>
            <w:vMerge/>
            <w:vAlign w:val="center"/>
          </w:tcPr>
          <w:p w14:paraId="6685875D"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2BA6DD8B" w14:textId="21CA492C" w:rsidR="00F054B2" w:rsidRPr="00B16053" w:rsidRDefault="00F054B2" w:rsidP="0051520C">
            <w:pPr>
              <w:rPr>
                <w:color w:val="000000"/>
                <w:sz w:val="20"/>
                <w:szCs w:val="20"/>
              </w:rPr>
            </w:pPr>
            <w:r w:rsidRPr="00B16053">
              <w:rPr>
                <w:color w:val="000000"/>
                <w:sz w:val="20"/>
                <w:szCs w:val="20"/>
              </w:rPr>
              <w:t xml:space="preserve">Long-term: </w:t>
            </w:r>
            <w:r w:rsidRPr="00B16053">
              <w:rPr>
                <w:sz w:val="20"/>
                <w:szCs w:val="20"/>
              </w:rPr>
              <w:t>Low. The long-term risk may be greater to certain susceptible persons–those older (i.e., greater than 45 years</w:t>
            </w:r>
            <w:r w:rsidR="008A6222">
              <w:rPr>
                <w:sz w:val="20"/>
                <w:szCs w:val="20"/>
              </w:rPr>
              <w:t xml:space="preserve"> of age</w:t>
            </w:r>
            <w:r w:rsidRPr="00B16053">
              <w:rPr>
                <w:sz w:val="20"/>
                <w:szCs w:val="20"/>
              </w:rPr>
              <w:t xml:space="preserve">), in lesser physical shape, or with underlying </w:t>
            </w:r>
            <w:r w:rsidR="008A6222">
              <w:rPr>
                <w:sz w:val="20"/>
                <w:szCs w:val="20"/>
              </w:rPr>
              <w:t xml:space="preserve">chronic </w:t>
            </w:r>
            <w:r w:rsidRPr="00B16053">
              <w:rPr>
                <w:sz w:val="20"/>
                <w:szCs w:val="20"/>
              </w:rPr>
              <w:t>medical/health conditions.</w:t>
            </w:r>
          </w:p>
        </w:tc>
      </w:tr>
      <w:tr w:rsidR="00F054B2" w:rsidRPr="00B16053" w14:paraId="442C4EFE"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4CE6D77D" w14:textId="77777777" w:rsidR="00F054B2" w:rsidRPr="00B16053" w:rsidRDefault="00F054B2" w:rsidP="0051520C">
            <w:pPr>
              <w:rPr>
                <w:sz w:val="20"/>
                <w:szCs w:val="20"/>
              </w:rPr>
            </w:pPr>
            <w:r w:rsidRPr="00B16053">
              <w:rPr>
                <w:sz w:val="20"/>
                <w:szCs w:val="20"/>
              </w:rPr>
              <w:t>Cold</w:t>
            </w:r>
          </w:p>
        </w:tc>
        <w:tc>
          <w:tcPr>
            <w:tcW w:w="2813" w:type="dxa"/>
            <w:tcBorders>
              <w:left w:val="single" w:sz="4" w:space="0" w:color="auto"/>
              <w:bottom w:val="single" w:sz="4" w:space="0" w:color="auto"/>
              <w:right w:val="single" w:sz="4" w:space="0" w:color="auto"/>
            </w:tcBorders>
            <w:shd w:val="clear" w:color="auto" w:fill="auto"/>
            <w:vAlign w:val="center"/>
          </w:tcPr>
          <w:p w14:paraId="4EE5AADB" w14:textId="3DEDA7EB" w:rsidR="00F054B2" w:rsidRPr="00B16053" w:rsidRDefault="00F054B2" w:rsidP="0051520C">
            <w:pPr>
              <w:rPr>
                <w:color w:val="000000"/>
                <w:sz w:val="20"/>
                <w:szCs w:val="20"/>
              </w:rPr>
            </w:pPr>
            <w:r w:rsidRPr="00B16053">
              <w:rPr>
                <w:sz w:val="20"/>
                <w:szCs w:val="20"/>
              </w:rPr>
              <w:t xml:space="preserve">Short-term: </w:t>
            </w:r>
            <w:r w:rsidRPr="00B16053">
              <w:rPr>
                <w:sz w:val="20"/>
                <w:szCs w:val="20"/>
                <w:highlight w:val="yellow"/>
              </w:rPr>
              <w:t>Low</w:t>
            </w:r>
            <w:r w:rsidRPr="00B16053">
              <w:rPr>
                <w:sz w:val="20"/>
                <w:szCs w:val="20"/>
              </w:rPr>
              <w:t xml:space="preserve"> risk of cold stress/injury. </w:t>
            </w:r>
          </w:p>
        </w:tc>
        <w:tc>
          <w:tcPr>
            <w:tcW w:w="2520" w:type="dxa"/>
            <w:vMerge w:val="restart"/>
            <w:tcBorders>
              <w:left w:val="single" w:sz="4" w:space="0" w:color="auto"/>
              <w:right w:val="single" w:sz="4" w:space="0" w:color="auto"/>
            </w:tcBorders>
            <w:vAlign w:val="center"/>
          </w:tcPr>
          <w:p w14:paraId="5BD8623B" w14:textId="614AF69A" w:rsidR="00F054B2" w:rsidRPr="00B16053" w:rsidRDefault="00F054B2" w:rsidP="0051520C">
            <w:pPr>
              <w:rPr>
                <w:sz w:val="20"/>
                <w:szCs w:val="20"/>
              </w:rPr>
            </w:pPr>
            <w:r w:rsidRPr="00B16053">
              <w:rPr>
                <w:sz w:val="20"/>
                <w:szCs w:val="20"/>
              </w:rPr>
              <w:t xml:space="preserve">Reduce risks from cold stress with protective measures such as use of the buddy system, limiting exposure during cold weather, proper hydration and nutrition, and proper wear of issued </w:t>
            </w:r>
            <w:r w:rsidR="00726A83" w:rsidRPr="00B16053">
              <w:rPr>
                <w:sz w:val="20"/>
                <w:szCs w:val="20"/>
              </w:rPr>
              <w:t xml:space="preserve">cold weather </w:t>
            </w:r>
            <w:r w:rsidRPr="00B16053">
              <w:rPr>
                <w:sz w:val="20"/>
                <w:szCs w:val="20"/>
              </w:rPr>
              <w:t>protective clothing.</w:t>
            </w:r>
          </w:p>
          <w:p w14:paraId="173D6700" w14:textId="77777777" w:rsidR="00F054B2" w:rsidRPr="00B16053" w:rsidRDefault="00F054B2" w:rsidP="0051520C">
            <w:pPr>
              <w:rPr>
                <w:sz w:val="20"/>
                <w:szCs w:val="20"/>
              </w:rPr>
            </w:pPr>
          </w:p>
          <w:p w14:paraId="29A51E41"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3E866061" w14:textId="16DD124C" w:rsidR="00F054B2" w:rsidRPr="00B16053" w:rsidRDefault="00F054B2" w:rsidP="0051520C">
            <w:pPr>
              <w:rPr>
                <w:color w:val="000000"/>
                <w:sz w:val="20"/>
                <w:szCs w:val="20"/>
              </w:rPr>
            </w:pPr>
            <w:r w:rsidRPr="00B16053">
              <w:rPr>
                <w:sz w:val="20"/>
                <w:szCs w:val="20"/>
              </w:rPr>
              <w:t xml:space="preserve">Short-term: </w:t>
            </w:r>
            <w:r w:rsidRPr="00B16053">
              <w:rPr>
                <w:sz w:val="20"/>
                <w:szCs w:val="20"/>
                <w:highlight w:val="yellow"/>
              </w:rPr>
              <w:t>Low</w:t>
            </w:r>
            <w:r w:rsidRPr="00B16053">
              <w:rPr>
                <w:sz w:val="20"/>
                <w:szCs w:val="20"/>
              </w:rPr>
              <w:t xml:space="preserve"> risk of cold stress/injury. </w:t>
            </w:r>
          </w:p>
        </w:tc>
      </w:tr>
      <w:tr w:rsidR="00F054B2" w:rsidRPr="00B16053" w14:paraId="1EB72C84" w14:textId="77777777" w:rsidTr="18E03C30">
        <w:trPr>
          <w:trHeight w:val="317"/>
        </w:trPr>
        <w:tc>
          <w:tcPr>
            <w:tcW w:w="1687" w:type="dxa"/>
            <w:vMerge/>
            <w:vAlign w:val="center"/>
          </w:tcPr>
          <w:p w14:paraId="72DF335F" w14:textId="77777777" w:rsidR="00F054B2" w:rsidRPr="00B16053" w:rsidRDefault="00F054B2" w:rsidP="0051520C">
            <w:pPr>
              <w:rPr>
                <w:sz w:val="20"/>
                <w:szCs w:val="20"/>
              </w:rPr>
            </w:pPr>
          </w:p>
        </w:tc>
        <w:tc>
          <w:tcPr>
            <w:tcW w:w="2813" w:type="dxa"/>
            <w:tcBorders>
              <w:left w:val="single" w:sz="4" w:space="0" w:color="auto"/>
              <w:bottom w:val="single" w:sz="4" w:space="0" w:color="auto"/>
              <w:right w:val="single" w:sz="4" w:space="0" w:color="auto"/>
            </w:tcBorders>
            <w:shd w:val="clear" w:color="auto" w:fill="auto"/>
            <w:vAlign w:val="center"/>
          </w:tcPr>
          <w:p w14:paraId="77C2C030" w14:textId="26E76E6D" w:rsidR="00F054B2" w:rsidRPr="00B16053" w:rsidRDefault="00F054B2" w:rsidP="0051520C">
            <w:pPr>
              <w:rPr>
                <w:sz w:val="20"/>
                <w:szCs w:val="20"/>
              </w:rPr>
            </w:pPr>
            <w:r w:rsidRPr="00B16053">
              <w:rPr>
                <w:color w:val="000000"/>
                <w:sz w:val="20"/>
                <w:szCs w:val="20"/>
              </w:rPr>
              <w:t xml:space="preserve">Long-term: </w:t>
            </w:r>
            <w:r w:rsidRPr="00B16053">
              <w:rPr>
                <w:sz w:val="20"/>
                <w:szCs w:val="20"/>
                <w:highlight w:val="yellow"/>
              </w:rPr>
              <w:t>Low. Long-term health implications from cold injuries are rare but can occur</w:t>
            </w:r>
            <w:r w:rsidR="00A05225" w:rsidRPr="00B16053">
              <w:rPr>
                <w:color w:val="FF0000"/>
                <w:sz w:val="20"/>
                <w:szCs w:val="20"/>
                <w:highlight w:val="yellow"/>
              </w:rPr>
              <w:t xml:space="preserve"> </w:t>
            </w:r>
            <w:r w:rsidR="00A05225" w:rsidRPr="00B16053">
              <w:rPr>
                <w:sz w:val="20"/>
                <w:szCs w:val="20"/>
                <w:highlight w:val="yellow"/>
              </w:rPr>
              <w:t>especially from more serious injuries such as frostbite, trench-foot, and hypothermia</w:t>
            </w:r>
            <w:r w:rsidRPr="00B16053">
              <w:rPr>
                <w:sz w:val="20"/>
                <w:szCs w:val="20"/>
                <w:highlight w:val="yellow"/>
              </w:rPr>
              <w:t>.</w:t>
            </w:r>
            <w:r w:rsidRPr="00B16053">
              <w:rPr>
                <w:sz w:val="20"/>
                <w:szCs w:val="20"/>
              </w:rPr>
              <w:t xml:space="preserve"> </w:t>
            </w:r>
          </w:p>
        </w:tc>
        <w:tc>
          <w:tcPr>
            <w:tcW w:w="2520" w:type="dxa"/>
            <w:vMerge/>
            <w:vAlign w:val="center"/>
          </w:tcPr>
          <w:p w14:paraId="0553FB3C"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01D9E1C6" w14:textId="30246D33" w:rsidR="00F054B2" w:rsidRPr="00B16053" w:rsidRDefault="00F054B2" w:rsidP="0051520C">
            <w:pPr>
              <w:rPr>
                <w:color w:val="000000"/>
                <w:sz w:val="20"/>
                <w:szCs w:val="20"/>
              </w:rPr>
            </w:pPr>
            <w:r w:rsidRPr="00B16053">
              <w:rPr>
                <w:color w:val="000000"/>
                <w:sz w:val="20"/>
                <w:szCs w:val="20"/>
              </w:rPr>
              <w:t xml:space="preserve">Long-term: </w:t>
            </w:r>
            <w:r w:rsidRPr="00B16053">
              <w:rPr>
                <w:sz w:val="20"/>
                <w:szCs w:val="20"/>
                <w:highlight w:val="yellow"/>
              </w:rPr>
              <w:t>Low. Long-term health implications from cold injuries are rare but can occur</w:t>
            </w:r>
            <w:r w:rsidR="00726A83" w:rsidRPr="00B16053">
              <w:rPr>
                <w:sz w:val="20"/>
                <w:szCs w:val="20"/>
              </w:rPr>
              <w:t xml:space="preserve"> </w:t>
            </w:r>
            <w:r w:rsidR="00726A83" w:rsidRPr="00B16053">
              <w:rPr>
                <w:sz w:val="20"/>
                <w:szCs w:val="20"/>
                <w:highlight w:val="yellow"/>
              </w:rPr>
              <w:t>especially from more serious injuries such as frostbite, trench-foot, and hypothermia</w:t>
            </w:r>
            <w:r w:rsidRPr="00B16053">
              <w:rPr>
                <w:sz w:val="20"/>
                <w:szCs w:val="20"/>
              </w:rPr>
              <w:t>.</w:t>
            </w:r>
          </w:p>
        </w:tc>
      </w:tr>
      <w:tr w:rsidR="00EB48CD" w:rsidRPr="00B16053" w14:paraId="2D1D4A2F" w14:textId="77777777" w:rsidTr="18E03C30">
        <w:trPr>
          <w:trHeight w:val="317"/>
        </w:trPr>
        <w:tc>
          <w:tcPr>
            <w:tcW w:w="1017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30C91452" w14:textId="38808372" w:rsidR="00EB48CD" w:rsidRPr="00B16053" w:rsidRDefault="00EB48CD" w:rsidP="0051520C">
            <w:pPr>
              <w:rPr>
                <w:sz w:val="20"/>
                <w:szCs w:val="20"/>
              </w:rPr>
            </w:pPr>
            <w:commentRangeStart w:id="20"/>
            <w:r w:rsidRPr="00B16053">
              <w:rPr>
                <w:sz w:val="20"/>
                <w:szCs w:val="20"/>
              </w:rPr>
              <w:t>NOISE</w:t>
            </w:r>
            <w:commentRangeEnd w:id="20"/>
            <w:r w:rsidRPr="00B16053">
              <w:rPr>
                <w:sz w:val="20"/>
                <w:szCs w:val="20"/>
              </w:rPr>
              <w:commentReference w:id="20"/>
            </w:r>
          </w:p>
        </w:tc>
      </w:tr>
      <w:tr w:rsidR="00F054B2" w:rsidRPr="00B16053" w14:paraId="27AEFA58" w14:textId="77777777" w:rsidTr="18E03C30">
        <w:trPr>
          <w:trHeight w:val="1635"/>
        </w:trPr>
        <w:tc>
          <w:tcPr>
            <w:tcW w:w="1687" w:type="dxa"/>
            <w:vMerge w:val="restart"/>
            <w:tcBorders>
              <w:left w:val="single" w:sz="4" w:space="0" w:color="auto"/>
              <w:right w:val="single" w:sz="4" w:space="0" w:color="auto"/>
            </w:tcBorders>
            <w:shd w:val="clear" w:color="auto" w:fill="auto"/>
            <w:vAlign w:val="center"/>
          </w:tcPr>
          <w:p w14:paraId="57B3AFFC" w14:textId="77777777" w:rsidR="00F054B2" w:rsidRPr="00B16053" w:rsidRDefault="00F054B2" w:rsidP="0051520C">
            <w:pPr>
              <w:rPr>
                <w:sz w:val="20"/>
                <w:szCs w:val="20"/>
              </w:rPr>
            </w:pPr>
            <w:r w:rsidRPr="00B16053">
              <w:rPr>
                <w:sz w:val="20"/>
                <w:szCs w:val="20"/>
              </w:rPr>
              <w:t>Continuous</w:t>
            </w:r>
          </w:p>
          <w:p w14:paraId="23733841" w14:textId="77777777" w:rsidR="00F054B2" w:rsidRPr="00B16053" w:rsidRDefault="00F054B2" w:rsidP="0051520C">
            <w:pPr>
              <w:rPr>
                <w:b/>
                <w:sz w:val="20"/>
                <w:szCs w:val="20"/>
              </w:rPr>
            </w:pPr>
            <w:r w:rsidRPr="00B16053">
              <w:rPr>
                <w:sz w:val="20"/>
                <w:szCs w:val="20"/>
              </w:rPr>
              <w:t>(</w:t>
            </w:r>
            <w:r w:rsidRPr="00B16053">
              <w:rPr>
                <w:sz w:val="20"/>
                <w:szCs w:val="20"/>
                <w:highlight w:val="yellow"/>
              </w:rPr>
              <w:t>Flight Operations, Power Production</w:t>
            </w:r>
            <w:r w:rsidRPr="00B16053">
              <w:rPr>
                <w:sz w:val="20"/>
                <w:szCs w:val="20"/>
              </w:rPr>
              <w:t>)</w:t>
            </w:r>
          </w:p>
        </w:tc>
        <w:tc>
          <w:tcPr>
            <w:tcW w:w="2813" w:type="dxa"/>
            <w:vAlign w:val="center"/>
          </w:tcPr>
          <w:p w14:paraId="1641EA0F" w14:textId="1B054846" w:rsidR="00F054B2" w:rsidRPr="00B16053" w:rsidRDefault="00F054B2" w:rsidP="0051520C">
            <w:pPr>
              <w:rPr>
                <w:sz w:val="20"/>
                <w:szCs w:val="20"/>
              </w:rPr>
            </w:pPr>
            <w:r w:rsidRPr="00B16053">
              <w:rPr>
                <w:sz w:val="20"/>
                <w:szCs w:val="20"/>
              </w:rPr>
              <w:t xml:space="preserve">Short-term: </w:t>
            </w:r>
            <w:r w:rsidRPr="00B16053">
              <w:rPr>
                <w:sz w:val="20"/>
                <w:szCs w:val="20"/>
                <w:highlight w:val="yellow"/>
              </w:rPr>
              <w:t>High to Low</w:t>
            </w:r>
            <w:r w:rsidRPr="00B16053">
              <w:rPr>
                <w:sz w:val="20"/>
                <w:szCs w:val="20"/>
              </w:rPr>
              <w:t xml:space="preserve">; </w:t>
            </w:r>
            <w:r w:rsidRPr="00B16053">
              <w:rPr>
                <w:sz w:val="20"/>
                <w:szCs w:val="20"/>
                <w:highlight w:val="yellow"/>
              </w:rPr>
              <w:t>High</w:t>
            </w:r>
            <w:r w:rsidRPr="00B16053">
              <w:rPr>
                <w:sz w:val="20"/>
                <w:szCs w:val="20"/>
              </w:rPr>
              <w:t xml:space="preserve"> risk to individuals working near major noise </w:t>
            </w:r>
            <w:r w:rsidR="008A6222">
              <w:rPr>
                <w:sz w:val="20"/>
                <w:szCs w:val="20"/>
              </w:rPr>
              <w:t xml:space="preserve">hazard </w:t>
            </w:r>
            <w:r w:rsidRPr="00B16053">
              <w:rPr>
                <w:sz w:val="20"/>
                <w:szCs w:val="20"/>
              </w:rPr>
              <w:t>sources without proper hearing protection.</w:t>
            </w:r>
          </w:p>
        </w:tc>
        <w:tc>
          <w:tcPr>
            <w:tcW w:w="2520" w:type="dxa"/>
            <w:vMerge w:val="restart"/>
            <w:tcBorders>
              <w:left w:val="single" w:sz="4" w:space="0" w:color="auto"/>
              <w:right w:val="single" w:sz="4" w:space="0" w:color="auto"/>
            </w:tcBorders>
            <w:shd w:val="clear" w:color="auto" w:fill="auto"/>
            <w:vAlign w:val="center"/>
          </w:tcPr>
          <w:p w14:paraId="79BD101F" w14:textId="6F6E23BB" w:rsidR="00F054B2" w:rsidRPr="00B16053" w:rsidRDefault="00F054B2" w:rsidP="0051520C">
            <w:pPr>
              <w:rPr>
                <w:b/>
                <w:sz w:val="20"/>
                <w:szCs w:val="20"/>
              </w:rPr>
            </w:pPr>
            <w:r w:rsidRPr="00B16053">
              <w:rPr>
                <w:sz w:val="20"/>
                <w:szCs w:val="20"/>
              </w:rPr>
              <w:t xml:space="preserve">Reduce risk by appropriate hearing protection used by personnel in higher risk </w:t>
            </w:r>
            <w:r w:rsidR="00726A83" w:rsidRPr="00B16053">
              <w:rPr>
                <w:sz w:val="20"/>
                <w:szCs w:val="20"/>
              </w:rPr>
              <w:t xml:space="preserve">noise-hazardous </w:t>
            </w:r>
            <w:r w:rsidRPr="00B16053">
              <w:rPr>
                <w:sz w:val="20"/>
                <w:szCs w:val="20"/>
              </w:rPr>
              <w:t xml:space="preserve">areas (around major sources of continuous noise such as </w:t>
            </w:r>
            <w:r w:rsidRPr="00B16053">
              <w:rPr>
                <w:sz w:val="20"/>
                <w:szCs w:val="20"/>
              </w:rPr>
              <w:lastRenderedPageBreak/>
              <w:t>flight line</w:t>
            </w:r>
            <w:r w:rsidR="008A6222">
              <w:rPr>
                <w:sz w:val="20"/>
                <w:szCs w:val="20"/>
              </w:rPr>
              <w:t>s</w:t>
            </w:r>
            <w:r w:rsidRPr="00B16053">
              <w:rPr>
                <w:sz w:val="20"/>
                <w:szCs w:val="20"/>
              </w:rPr>
              <w:t xml:space="preserve"> and landing zone</w:t>
            </w:r>
            <w:r w:rsidR="008A6222">
              <w:rPr>
                <w:sz w:val="20"/>
                <w:szCs w:val="20"/>
              </w:rPr>
              <w:t>s</w:t>
            </w:r>
            <w:r w:rsidRPr="00B16053">
              <w:rPr>
                <w:sz w:val="20"/>
                <w:szCs w:val="20"/>
              </w:rPr>
              <w:t>, and power production (e.g., generators).</w:t>
            </w:r>
          </w:p>
        </w:tc>
        <w:tc>
          <w:tcPr>
            <w:tcW w:w="3150" w:type="dxa"/>
            <w:vAlign w:val="center"/>
          </w:tcPr>
          <w:p w14:paraId="65206AD3" w14:textId="4135F6FA" w:rsidR="00F054B2" w:rsidRPr="00B16053" w:rsidRDefault="00F054B2" w:rsidP="0051520C">
            <w:pPr>
              <w:rPr>
                <w:sz w:val="20"/>
                <w:szCs w:val="20"/>
              </w:rPr>
            </w:pPr>
            <w:r w:rsidRPr="00B16053">
              <w:rPr>
                <w:sz w:val="20"/>
                <w:szCs w:val="20"/>
              </w:rPr>
              <w:lastRenderedPageBreak/>
              <w:t xml:space="preserve">Short-term: Low risk to </w:t>
            </w:r>
            <w:proofErr w:type="gramStart"/>
            <w:r w:rsidRPr="00B16053">
              <w:rPr>
                <w:sz w:val="20"/>
                <w:szCs w:val="20"/>
              </w:rPr>
              <w:t>the majority of</w:t>
            </w:r>
            <w:proofErr w:type="gramEnd"/>
            <w:r w:rsidRPr="00B16053">
              <w:rPr>
                <w:sz w:val="20"/>
                <w:szCs w:val="20"/>
              </w:rPr>
              <w:t xml:space="preserve"> personnel and to individuals working near major noise </w:t>
            </w:r>
            <w:r w:rsidR="008A6222">
              <w:rPr>
                <w:sz w:val="20"/>
                <w:szCs w:val="20"/>
              </w:rPr>
              <w:t xml:space="preserve">hazard </w:t>
            </w:r>
            <w:r w:rsidRPr="00B16053">
              <w:rPr>
                <w:sz w:val="20"/>
                <w:szCs w:val="20"/>
              </w:rPr>
              <w:t>sources who use proper hearing protection.</w:t>
            </w:r>
          </w:p>
        </w:tc>
      </w:tr>
      <w:tr w:rsidR="00F054B2" w:rsidRPr="00B16053" w14:paraId="376C47BB" w14:textId="77777777" w:rsidTr="18E03C30">
        <w:trPr>
          <w:trHeight w:val="1665"/>
        </w:trPr>
        <w:tc>
          <w:tcPr>
            <w:tcW w:w="1687" w:type="dxa"/>
            <w:vMerge/>
            <w:vAlign w:val="center"/>
          </w:tcPr>
          <w:p w14:paraId="7EC6C5B3" w14:textId="77777777" w:rsidR="00F054B2" w:rsidRPr="00B16053" w:rsidRDefault="00F054B2" w:rsidP="0051520C">
            <w:pPr>
              <w:rPr>
                <w:sz w:val="20"/>
                <w:szCs w:val="20"/>
              </w:rPr>
            </w:pPr>
          </w:p>
        </w:tc>
        <w:tc>
          <w:tcPr>
            <w:tcW w:w="2813" w:type="dxa"/>
            <w:tcBorders>
              <w:right w:val="single" w:sz="4" w:space="0" w:color="auto"/>
            </w:tcBorders>
            <w:vAlign w:val="center"/>
          </w:tcPr>
          <w:p w14:paraId="2A9B6C06" w14:textId="383F736C" w:rsidR="00F054B2" w:rsidRPr="00B16053" w:rsidRDefault="00F054B2" w:rsidP="0051520C">
            <w:pPr>
              <w:rPr>
                <w:b/>
                <w:sz w:val="20"/>
                <w:szCs w:val="20"/>
              </w:rPr>
            </w:pPr>
            <w:r w:rsidRPr="00B16053">
              <w:rPr>
                <w:sz w:val="20"/>
                <w:szCs w:val="20"/>
              </w:rPr>
              <w:t xml:space="preserve">Long-term: </w:t>
            </w:r>
            <w:r w:rsidRPr="00B16053">
              <w:rPr>
                <w:sz w:val="20"/>
                <w:szCs w:val="20"/>
                <w:highlight w:val="yellow"/>
              </w:rPr>
              <w:t>High to Low</w:t>
            </w:r>
            <w:r w:rsidRPr="00B16053">
              <w:rPr>
                <w:sz w:val="20"/>
                <w:szCs w:val="20"/>
              </w:rPr>
              <w:t>; High risk to individuals working near major noise sources without proper hearing protection.</w:t>
            </w:r>
          </w:p>
        </w:tc>
        <w:tc>
          <w:tcPr>
            <w:tcW w:w="2520" w:type="dxa"/>
            <w:vMerge/>
            <w:vAlign w:val="center"/>
          </w:tcPr>
          <w:p w14:paraId="278BEFBB"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vAlign w:val="center"/>
          </w:tcPr>
          <w:p w14:paraId="3E78B2B3" w14:textId="635A5C57" w:rsidR="00F054B2" w:rsidRPr="00B16053" w:rsidRDefault="00F054B2" w:rsidP="0051520C">
            <w:pPr>
              <w:rPr>
                <w:b/>
                <w:sz w:val="20"/>
                <w:szCs w:val="20"/>
              </w:rPr>
            </w:pPr>
            <w:r w:rsidRPr="00B16053">
              <w:rPr>
                <w:sz w:val="20"/>
                <w:szCs w:val="20"/>
              </w:rPr>
              <w:t xml:space="preserve">Long-term: Low risk to </w:t>
            </w:r>
            <w:proofErr w:type="gramStart"/>
            <w:r w:rsidRPr="00B16053">
              <w:rPr>
                <w:sz w:val="20"/>
                <w:szCs w:val="20"/>
              </w:rPr>
              <w:t>the majority of</w:t>
            </w:r>
            <w:proofErr w:type="gramEnd"/>
            <w:r w:rsidRPr="00B16053">
              <w:rPr>
                <w:sz w:val="20"/>
                <w:szCs w:val="20"/>
              </w:rPr>
              <w:t xml:space="preserve"> personnel and to individuals working near major noise sources who use proper hearing protection.</w:t>
            </w:r>
          </w:p>
        </w:tc>
      </w:tr>
      <w:tr w:rsidR="00F054B2" w:rsidRPr="00B16053" w14:paraId="04AC5D3F" w14:textId="77777777" w:rsidTr="18E03C30">
        <w:trPr>
          <w:trHeight w:val="720"/>
        </w:trPr>
        <w:tc>
          <w:tcPr>
            <w:tcW w:w="1687" w:type="dxa"/>
            <w:vMerge w:val="restart"/>
            <w:tcBorders>
              <w:left w:val="single" w:sz="4" w:space="0" w:color="auto"/>
              <w:right w:val="single" w:sz="4" w:space="0" w:color="auto"/>
            </w:tcBorders>
            <w:shd w:val="clear" w:color="auto" w:fill="auto"/>
            <w:vAlign w:val="center"/>
          </w:tcPr>
          <w:p w14:paraId="5008AE72" w14:textId="77777777" w:rsidR="00F054B2" w:rsidRPr="00B16053" w:rsidRDefault="00F054B2" w:rsidP="0051520C">
            <w:pPr>
              <w:rPr>
                <w:sz w:val="20"/>
                <w:szCs w:val="20"/>
              </w:rPr>
            </w:pPr>
            <w:r w:rsidRPr="00B16053">
              <w:rPr>
                <w:sz w:val="20"/>
                <w:szCs w:val="20"/>
              </w:rPr>
              <w:t>Impulse</w:t>
            </w:r>
          </w:p>
        </w:tc>
        <w:tc>
          <w:tcPr>
            <w:tcW w:w="2813" w:type="dxa"/>
            <w:vAlign w:val="center"/>
          </w:tcPr>
          <w:p w14:paraId="78191943" w14:textId="77777777" w:rsidR="00F054B2" w:rsidRPr="00B16053" w:rsidRDefault="00F054B2" w:rsidP="0051520C">
            <w:pPr>
              <w:rPr>
                <w:b/>
                <w:sz w:val="20"/>
                <w:szCs w:val="20"/>
              </w:rPr>
            </w:pPr>
            <w:r w:rsidRPr="00B16053">
              <w:rPr>
                <w:sz w:val="20"/>
                <w:szCs w:val="20"/>
              </w:rPr>
              <w:t xml:space="preserve">Short-term: </w:t>
            </w:r>
            <w:r w:rsidRPr="00B16053">
              <w:rPr>
                <w:sz w:val="20"/>
                <w:szCs w:val="20"/>
                <w:highlight w:val="yellow"/>
              </w:rPr>
              <w:t>None identified</w:t>
            </w:r>
          </w:p>
        </w:tc>
        <w:tc>
          <w:tcPr>
            <w:tcW w:w="2520" w:type="dxa"/>
            <w:vMerge/>
          </w:tcPr>
          <w:p w14:paraId="75EB14F9" w14:textId="77777777" w:rsidR="00F054B2" w:rsidRPr="00B16053" w:rsidRDefault="00F054B2" w:rsidP="0051520C">
            <w:pPr>
              <w:rPr>
                <w:sz w:val="20"/>
                <w:szCs w:val="20"/>
              </w:rPr>
            </w:pPr>
          </w:p>
        </w:tc>
        <w:tc>
          <w:tcPr>
            <w:tcW w:w="3150" w:type="dxa"/>
            <w:vAlign w:val="center"/>
          </w:tcPr>
          <w:p w14:paraId="56909B8D" w14:textId="77777777" w:rsidR="00F054B2" w:rsidRPr="00B16053" w:rsidRDefault="00F054B2" w:rsidP="0051520C">
            <w:pPr>
              <w:rPr>
                <w:b/>
                <w:sz w:val="20"/>
                <w:szCs w:val="20"/>
              </w:rPr>
            </w:pPr>
            <w:r w:rsidRPr="00B16053">
              <w:rPr>
                <w:sz w:val="20"/>
                <w:szCs w:val="20"/>
              </w:rPr>
              <w:t xml:space="preserve">Short-term: </w:t>
            </w:r>
            <w:r w:rsidRPr="00B16053">
              <w:rPr>
                <w:sz w:val="20"/>
                <w:szCs w:val="20"/>
                <w:highlight w:val="yellow"/>
              </w:rPr>
              <w:t>None identified</w:t>
            </w:r>
          </w:p>
        </w:tc>
      </w:tr>
      <w:tr w:rsidR="00F054B2" w:rsidRPr="00B16053" w14:paraId="04632DDF" w14:textId="77777777" w:rsidTr="18E03C30">
        <w:trPr>
          <w:trHeight w:val="675"/>
        </w:trPr>
        <w:tc>
          <w:tcPr>
            <w:tcW w:w="1687" w:type="dxa"/>
            <w:vMerge/>
            <w:vAlign w:val="center"/>
          </w:tcPr>
          <w:p w14:paraId="6381F860" w14:textId="77777777" w:rsidR="00F054B2" w:rsidRPr="00B16053" w:rsidRDefault="00F054B2" w:rsidP="0051520C">
            <w:pPr>
              <w:rPr>
                <w:sz w:val="20"/>
                <w:szCs w:val="20"/>
              </w:rPr>
            </w:pPr>
          </w:p>
        </w:tc>
        <w:tc>
          <w:tcPr>
            <w:tcW w:w="2813" w:type="dxa"/>
            <w:vAlign w:val="center"/>
          </w:tcPr>
          <w:p w14:paraId="0C226773" w14:textId="77777777" w:rsidR="00F054B2" w:rsidRPr="00B16053" w:rsidRDefault="00F054B2" w:rsidP="0051520C">
            <w:pPr>
              <w:rPr>
                <w:b/>
                <w:sz w:val="20"/>
                <w:szCs w:val="20"/>
              </w:rPr>
            </w:pPr>
            <w:r w:rsidRPr="00B16053">
              <w:rPr>
                <w:sz w:val="20"/>
                <w:szCs w:val="20"/>
              </w:rPr>
              <w:t xml:space="preserve">Long-term: </w:t>
            </w:r>
            <w:r w:rsidRPr="00B16053">
              <w:rPr>
                <w:sz w:val="20"/>
                <w:szCs w:val="20"/>
                <w:highlight w:val="yellow"/>
              </w:rPr>
              <w:t>None identified</w:t>
            </w:r>
          </w:p>
        </w:tc>
        <w:tc>
          <w:tcPr>
            <w:tcW w:w="2520" w:type="dxa"/>
            <w:vMerge/>
          </w:tcPr>
          <w:p w14:paraId="1EE761D3" w14:textId="77777777" w:rsidR="00F054B2" w:rsidRPr="00B16053" w:rsidRDefault="00F054B2" w:rsidP="0051520C">
            <w:pPr>
              <w:rPr>
                <w:sz w:val="20"/>
                <w:szCs w:val="20"/>
              </w:rPr>
            </w:pPr>
          </w:p>
        </w:tc>
        <w:tc>
          <w:tcPr>
            <w:tcW w:w="3150" w:type="dxa"/>
            <w:vAlign w:val="center"/>
          </w:tcPr>
          <w:p w14:paraId="2DA0943A" w14:textId="77777777" w:rsidR="00F054B2" w:rsidRPr="00B16053" w:rsidRDefault="00F054B2" w:rsidP="0051520C">
            <w:pPr>
              <w:rPr>
                <w:b/>
                <w:sz w:val="20"/>
                <w:szCs w:val="20"/>
              </w:rPr>
            </w:pPr>
            <w:r w:rsidRPr="00B16053">
              <w:rPr>
                <w:sz w:val="20"/>
                <w:szCs w:val="20"/>
              </w:rPr>
              <w:t xml:space="preserve">Long-term: </w:t>
            </w:r>
            <w:r w:rsidRPr="00B16053">
              <w:rPr>
                <w:sz w:val="20"/>
                <w:szCs w:val="20"/>
                <w:highlight w:val="yellow"/>
              </w:rPr>
              <w:t>None identified</w:t>
            </w:r>
          </w:p>
        </w:tc>
      </w:tr>
      <w:tr w:rsidR="00EB48CD" w:rsidRPr="00B16053" w14:paraId="6E73DCF8" w14:textId="77777777" w:rsidTr="18E03C30">
        <w:trPr>
          <w:trHeight w:val="317"/>
        </w:trPr>
        <w:tc>
          <w:tcPr>
            <w:tcW w:w="1017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68B47831" w14:textId="2007B86E" w:rsidR="00EB48CD" w:rsidRPr="00B16053" w:rsidRDefault="00EB48CD" w:rsidP="0051520C">
            <w:pPr>
              <w:rPr>
                <w:sz w:val="20"/>
                <w:szCs w:val="20"/>
              </w:rPr>
            </w:pPr>
            <w:commentRangeStart w:id="21"/>
            <w:r w:rsidRPr="00B16053">
              <w:rPr>
                <w:sz w:val="20"/>
                <w:szCs w:val="20"/>
              </w:rPr>
              <w:t>UNIQUE</w:t>
            </w:r>
            <w:commentRangeEnd w:id="21"/>
            <w:r w:rsidR="004F0604">
              <w:rPr>
                <w:rStyle w:val="CommentReference"/>
              </w:rPr>
              <w:commentReference w:id="21"/>
            </w:r>
            <w:r w:rsidRPr="00B16053">
              <w:rPr>
                <w:sz w:val="20"/>
                <w:szCs w:val="20"/>
              </w:rPr>
              <w:t xml:space="preserve"> INCIDENTS/ CONCERNS</w:t>
            </w:r>
          </w:p>
        </w:tc>
      </w:tr>
      <w:tr w:rsidR="00F054B2" w:rsidRPr="00B16053" w14:paraId="3D6FE996" w14:textId="77777777" w:rsidTr="18E03C30">
        <w:trPr>
          <w:trHeight w:val="317"/>
        </w:trPr>
        <w:tc>
          <w:tcPr>
            <w:tcW w:w="1687" w:type="dxa"/>
            <w:vMerge w:val="restart"/>
            <w:tcBorders>
              <w:left w:val="single" w:sz="4" w:space="0" w:color="auto"/>
              <w:right w:val="single" w:sz="4" w:space="0" w:color="auto"/>
            </w:tcBorders>
            <w:shd w:val="clear" w:color="auto" w:fill="auto"/>
            <w:vAlign w:val="center"/>
          </w:tcPr>
          <w:p w14:paraId="6DF108E2" w14:textId="77777777" w:rsidR="00F054B2" w:rsidRPr="00B16053" w:rsidRDefault="00F054B2" w:rsidP="0051520C">
            <w:pPr>
              <w:rPr>
                <w:sz w:val="20"/>
                <w:szCs w:val="20"/>
                <w:highlight w:val="yellow"/>
              </w:rPr>
            </w:pPr>
            <w:commentRangeStart w:id="22"/>
            <w:r w:rsidRPr="00B16053">
              <w:rPr>
                <w:sz w:val="20"/>
                <w:szCs w:val="20"/>
              </w:rPr>
              <w:t>Burn</w:t>
            </w:r>
            <w:commentRangeEnd w:id="22"/>
            <w:r w:rsidR="004F0604">
              <w:rPr>
                <w:rStyle w:val="CommentReference"/>
              </w:rPr>
              <w:commentReference w:id="22"/>
            </w:r>
            <w:r w:rsidRPr="00B16053">
              <w:rPr>
                <w:sz w:val="20"/>
                <w:szCs w:val="20"/>
              </w:rPr>
              <w:t xml:space="preserve"> Pits</w:t>
            </w:r>
          </w:p>
        </w:tc>
        <w:tc>
          <w:tcPr>
            <w:tcW w:w="2813" w:type="dxa"/>
            <w:tcBorders>
              <w:left w:val="single" w:sz="4" w:space="0" w:color="auto"/>
              <w:bottom w:val="single" w:sz="4" w:space="0" w:color="auto"/>
              <w:right w:val="single" w:sz="4" w:space="0" w:color="auto"/>
            </w:tcBorders>
            <w:shd w:val="clear" w:color="auto" w:fill="auto"/>
          </w:tcPr>
          <w:p w14:paraId="52EEAA6E" w14:textId="4C2A9FE5" w:rsidR="00F054B2" w:rsidRPr="00B16053" w:rsidRDefault="00F054B2" w:rsidP="0051520C">
            <w:pPr>
              <w:rPr>
                <w:sz w:val="20"/>
                <w:szCs w:val="20"/>
              </w:rPr>
            </w:pPr>
            <w:r w:rsidRPr="00B16053">
              <w:rPr>
                <w:sz w:val="20"/>
                <w:szCs w:val="20"/>
              </w:rPr>
              <w:t xml:space="preserve">Short-term: Burn pits cannot be evaluated independently from the ambient air; however, burn pit smoke may have contributed to the ambient air short-term health risk estimates. See Section 2 for the short-term ambient air health risk estimates. Exposure to burn pit smoke is variable. Exposure to high levels of </w:t>
            </w:r>
            <w:r w:rsidRPr="00B16053">
              <w:rPr>
                <w:sz w:val="20"/>
                <w:szCs w:val="20"/>
                <w:highlight w:val="yellow"/>
              </w:rPr>
              <w:t>PM</w:t>
            </w:r>
            <w:r w:rsidRPr="00B16053">
              <w:rPr>
                <w:rStyle w:val="StyleSubscript"/>
                <w:sz w:val="20"/>
                <w:szCs w:val="20"/>
                <w:highlight w:val="yellow"/>
              </w:rPr>
              <w:t>10</w:t>
            </w:r>
            <w:r w:rsidRPr="00B16053">
              <w:rPr>
                <w:sz w:val="20"/>
                <w:szCs w:val="20"/>
                <w:highlight w:val="yellow"/>
              </w:rPr>
              <w:t xml:space="preserve"> and PM</w:t>
            </w:r>
            <w:r w:rsidRPr="00B16053">
              <w:rPr>
                <w:rStyle w:val="StyleSubscript"/>
                <w:sz w:val="20"/>
                <w:szCs w:val="20"/>
                <w:highlight w:val="yellow"/>
              </w:rPr>
              <w:t>2.5</w:t>
            </w:r>
            <w:r w:rsidRPr="00B16053">
              <w:rPr>
                <w:sz w:val="20"/>
                <w:szCs w:val="20"/>
              </w:rPr>
              <w:t xml:space="preserve"> from smoke may result in mild to more serious short-term health effects (e.g., eye, nose or throat and lung irritation) in some personnel and certain subgroups, such as those with pre-existing health conditions (e.g., asthma, or cardiopulmonary disease, which may be exacerbated). Additionally other contaminants expected from burning solid waste such as </w:t>
            </w:r>
            <w:r w:rsidRPr="00B16053">
              <w:rPr>
                <w:sz w:val="20"/>
                <w:szCs w:val="20"/>
                <w:highlight w:val="yellow"/>
              </w:rPr>
              <w:t>volatile or semi-volatile organic compounds, dioxins, furans or acid gases were not</w:t>
            </w:r>
            <w:r w:rsidRPr="00B16053">
              <w:rPr>
                <w:sz w:val="20"/>
                <w:szCs w:val="20"/>
              </w:rPr>
              <w:t xml:space="preserve"> characterized.</w:t>
            </w:r>
          </w:p>
        </w:tc>
        <w:tc>
          <w:tcPr>
            <w:tcW w:w="2520" w:type="dxa"/>
            <w:vMerge w:val="restart"/>
            <w:tcBorders>
              <w:left w:val="single" w:sz="4" w:space="0" w:color="auto"/>
              <w:right w:val="single" w:sz="4" w:space="0" w:color="auto"/>
            </w:tcBorders>
          </w:tcPr>
          <w:p w14:paraId="290D2032" w14:textId="15746D2C" w:rsidR="00F054B2" w:rsidRPr="00B16053" w:rsidRDefault="00F054B2" w:rsidP="0051520C">
            <w:pPr>
              <w:rPr>
                <w:sz w:val="20"/>
                <w:szCs w:val="20"/>
              </w:rPr>
            </w:pPr>
            <w:r w:rsidRPr="00B16053">
              <w:rPr>
                <w:sz w:val="20"/>
                <w:szCs w:val="20"/>
              </w:rPr>
              <w:t xml:space="preserve">Reduce risk by limiting strenuous physical activities when air quality was especially poor; and action such as closing tent flaps, windows, and doors. Other control measures may </w:t>
            </w:r>
            <w:r w:rsidR="00595F25">
              <w:rPr>
                <w:sz w:val="20"/>
                <w:szCs w:val="20"/>
              </w:rPr>
              <w:t xml:space="preserve">have </w:t>
            </w:r>
            <w:r w:rsidR="002448F1" w:rsidRPr="00B16053">
              <w:rPr>
                <w:sz w:val="20"/>
                <w:szCs w:val="20"/>
              </w:rPr>
              <w:t>include</w:t>
            </w:r>
            <w:r w:rsidR="00595F25">
              <w:rPr>
                <w:sz w:val="20"/>
                <w:szCs w:val="20"/>
              </w:rPr>
              <w:t>d</w:t>
            </w:r>
            <w:r w:rsidRPr="00B16053">
              <w:rPr>
                <w:sz w:val="20"/>
                <w:szCs w:val="20"/>
              </w:rPr>
              <w:t xml:space="preserve"> locating burn pits downwind of camps, increased distance from troop populations, decreased duration of burning, specifying burn times (beginning 3 hours after sunrise; ceasing 3 hours before sunset), and voluntary use of NIOSH-certified N95 filtering face piece respirators. </w:t>
            </w:r>
            <w:r w:rsidR="00580B36" w:rsidRPr="00580B36">
              <w:rPr>
                <w:color w:val="0070C0"/>
                <w:sz w:val="20"/>
                <w:szCs w:val="20"/>
              </w:rPr>
              <w:t xml:space="preserve">[Use site specific </w:t>
            </w:r>
            <w:r w:rsidR="006B26BD" w:rsidRPr="00580B36">
              <w:rPr>
                <w:color w:val="0070C0"/>
                <w:sz w:val="20"/>
                <w:szCs w:val="20"/>
              </w:rPr>
              <w:t>information,</w:t>
            </w:r>
            <w:r w:rsidR="00580B36" w:rsidRPr="00580B36">
              <w:rPr>
                <w:color w:val="0070C0"/>
                <w:sz w:val="20"/>
                <w:szCs w:val="20"/>
              </w:rPr>
              <w:t xml:space="preserve"> when </w:t>
            </w:r>
            <w:r w:rsidR="006B26BD" w:rsidRPr="00580B36">
              <w:rPr>
                <w:color w:val="0070C0"/>
                <w:sz w:val="20"/>
                <w:szCs w:val="20"/>
              </w:rPr>
              <w:t>possible,</w:t>
            </w:r>
            <w:r w:rsidR="00580B36" w:rsidRPr="00580B36">
              <w:rPr>
                <w:color w:val="0070C0"/>
                <w:sz w:val="20"/>
                <w:szCs w:val="20"/>
              </w:rPr>
              <w:t xml:space="preserve"> instead of this general list]</w:t>
            </w:r>
          </w:p>
        </w:tc>
        <w:tc>
          <w:tcPr>
            <w:tcW w:w="3150" w:type="dxa"/>
            <w:tcBorders>
              <w:left w:val="single" w:sz="4" w:space="0" w:color="auto"/>
              <w:bottom w:val="single" w:sz="4" w:space="0" w:color="auto"/>
              <w:right w:val="single" w:sz="4" w:space="0" w:color="auto"/>
            </w:tcBorders>
            <w:shd w:val="clear" w:color="auto" w:fill="auto"/>
          </w:tcPr>
          <w:p w14:paraId="7798D6A8" w14:textId="492115CB" w:rsidR="00F054B2" w:rsidRPr="00B16053" w:rsidRDefault="00F054B2" w:rsidP="0051520C">
            <w:pPr>
              <w:rPr>
                <w:sz w:val="20"/>
                <w:szCs w:val="20"/>
              </w:rPr>
            </w:pPr>
            <w:r w:rsidRPr="00B16053">
              <w:rPr>
                <w:sz w:val="20"/>
                <w:szCs w:val="20"/>
              </w:rPr>
              <w:t xml:space="preserve">Short-term: Burn pits </w:t>
            </w:r>
            <w:r w:rsidR="004863C0" w:rsidRPr="00B16053">
              <w:rPr>
                <w:sz w:val="20"/>
                <w:szCs w:val="20"/>
              </w:rPr>
              <w:t>cannot</w:t>
            </w:r>
            <w:r w:rsidR="00D36489">
              <w:rPr>
                <w:sz w:val="20"/>
                <w:szCs w:val="20"/>
              </w:rPr>
              <w:t xml:space="preserve"> </w:t>
            </w:r>
            <w:r w:rsidR="00C441C4">
              <w:rPr>
                <w:sz w:val="20"/>
                <w:szCs w:val="20"/>
              </w:rPr>
              <w:t xml:space="preserve">be </w:t>
            </w:r>
            <w:r w:rsidRPr="00B16053">
              <w:rPr>
                <w:sz w:val="20"/>
                <w:szCs w:val="20"/>
              </w:rPr>
              <w:t xml:space="preserve">evaluated independently from the ambient air; however, burn pit smoke may have contributed to the ambient air short-term health risk estimates. See Section 2 for the short-term ambient air health risk estimates. Exposure to burn pit smoke is variable. Exposure to high levels of </w:t>
            </w:r>
            <w:r w:rsidRPr="00B16053">
              <w:rPr>
                <w:sz w:val="20"/>
                <w:szCs w:val="20"/>
                <w:highlight w:val="yellow"/>
              </w:rPr>
              <w:t>PM</w:t>
            </w:r>
            <w:r w:rsidRPr="00B16053">
              <w:rPr>
                <w:rStyle w:val="StyleSubscript"/>
                <w:sz w:val="20"/>
                <w:szCs w:val="20"/>
                <w:highlight w:val="yellow"/>
              </w:rPr>
              <w:t>10</w:t>
            </w:r>
            <w:r w:rsidRPr="00B16053">
              <w:rPr>
                <w:sz w:val="20"/>
                <w:szCs w:val="20"/>
                <w:highlight w:val="yellow"/>
              </w:rPr>
              <w:t xml:space="preserve"> and PM</w:t>
            </w:r>
            <w:r w:rsidRPr="00B16053">
              <w:rPr>
                <w:rStyle w:val="StyleSubscript"/>
                <w:sz w:val="20"/>
                <w:szCs w:val="20"/>
                <w:highlight w:val="yellow"/>
              </w:rPr>
              <w:t>2.5</w:t>
            </w:r>
            <w:r w:rsidRPr="00B16053">
              <w:rPr>
                <w:sz w:val="20"/>
                <w:szCs w:val="20"/>
              </w:rPr>
              <w:t xml:space="preserve"> from smoke may result in mild to more serious short-term health effects (e.g., eye, nose or throat and lung irritation) in some personnel and certain subgroups, such as those with pre-existing health conditions (e.g., asthma, or cardiopulmonary disease, which may be exacerbated). Additionally other contaminants expected from burning solid waste such as </w:t>
            </w:r>
            <w:r w:rsidRPr="00B16053">
              <w:rPr>
                <w:sz w:val="20"/>
                <w:szCs w:val="20"/>
                <w:highlight w:val="yellow"/>
              </w:rPr>
              <w:t>volatile or semi-volatile organic compounds, dioxins, furans or acid gases were not</w:t>
            </w:r>
            <w:r w:rsidRPr="00B16053">
              <w:rPr>
                <w:sz w:val="20"/>
                <w:szCs w:val="20"/>
              </w:rPr>
              <w:t xml:space="preserve"> characterized.</w:t>
            </w:r>
          </w:p>
        </w:tc>
      </w:tr>
      <w:tr w:rsidR="00F054B2" w:rsidRPr="00B16053" w14:paraId="5B57E2FA" w14:textId="77777777" w:rsidTr="18E03C30">
        <w:trPr>
          <w:trHeight w:val="317"/>
        </w:trPr>
        <w:tc>
          <w:tcPr>
            <w:tcW w:w="1687" w:type="dxa"/>
            <w:vMerge/>
            <w:vAlign w:val="center"/>
          </w:tcPr>
          <w:p w14:paraId="0960F164" w14:textId="77777777" w:rsidR="00F054B2" w:rsidRPr="00B16053" w:rsidRDefault="00F054B2" w:rsidP="0051520C">
            <w:pPr>
              <w:rPr>
                <w:sz w:val="20"/>
                <w:szCs w:val="20"/>
                <w:highlight w:val="yellow"/>
              </w:rPr>
            </w:pPr>
          </w:p>
        </w:tc>
        <w:tc>
          <w:tcPr>
            <w:tcW w:w="2813" w:type="dxa"/>
            <w:tcBorders>
              <w:left w:val="single" w:sz="4" w:space="0" w:color="auto"/>
              <w:bottom w:val="single" w:sz="4" w:space="0" w:color="auto"/>
              <w:right w:val="single" w:sz="4" w:space="0" w:color="auto"/>
            </w:tcBorders>
            <w:shd w:val="clear" w:color="auto" w:fill="auto"/>
          </w:tcPr>
          <w:p w14:paraId="67195142" w14:textId="74F6BCAA" w:rsidR="00F054B2" w:rsidRPr="00B16053" w:rsidRDefault="00F054B2" w:rsidP="0051520C">
            <w:pPr>
              <w:rPr>
                <w:sz w:val="20"/>
                <w:szCs w:val="20"/>
              </w:rPr>
            </w:pPr>
            <w:r w:rsidRPr="33FB9B46">
              <w:rPr>
                <w:sz w:val="20"/>
                <w:szCs w:val="20"/>
              </w:rPr>
              <w:t xml:space="preserve">Long-term: Burn pits cannot be evaluated independently from the ambient air; however, burn pit smoke may have contributed to the ambient air long-term health risk estimates. See Section 2 for the long-term ambient air health risk estimates. </w:t>
            </w:r>
            <w:r w:rsidRPr="33FB9B46">
              <w:rPr>
                <w:sz w:val="20"/>
                <w:szCs w:val="20"/>
              </w:rPr>
              <w:lastRenderedPageBreak/>
              <w:t xml:space="preserve">Typically, exposure to burn pit smoke is variable. Exposure to high levels of </w:t>
            </w:r>
            <w:r w:rsidRPr="33FB9B46">
              <w:rPr>
                <w:sz w:val="20"/>
                <w:szCs w:val="20"/>
                <w:highlight w:val="yellow"/>
              </w:rPr>
              <w:t>PM</w:t>
            </w:r>
            <w:r w:rsidRPr="33FB9B46">
              <w:rPr>
                <w:rStyle w:val="StyleSubscript"/>
                <w:sz w:val="20"/>
                <w:szCs w:val="20"/>
                <w:highlight w:val="yellow"/>
              </w:rPr>
              <w:t>2.5</w:t>
            </w:r>
            <w:r w:rsidRPr="33FB9B46">
              <w:rPr>
                <w:sz w:val="20"/>
                <w:szCs w:val="20"/>
              </w:rPr>
              <w:t xml:space="preserve"> in the smoke may be associated with some otherwise healthy personnel, who were exposed for a long-term period, possibly developing certain health conditions (e.g., reduced lung function, cardiopulmonary disease). Personnel with a history of asthma or cardiopulmonary disease could potentially be more likely to develop such chronic health conditions. Additionally other contaminants expected from burning solid waste such as </w:t>
            </w:r>
            <w:r w:rsidRPr="33FB9B46">
              <w:rPr>
                <w:sz w:val="20"/>
                <w:szCs w:val="20"/>
                <w:highlight w:val="yellow"/>
              </w:rPr>
              <w:t xml:space="preserve">volatile or semi-volatile organic compounds, dioxins, furans or acid gases </w:t>
            </w:r>
            <w:r w:rsidRPr="33FB9B46">
              <w:rPr>
                <w:sz w:val="20"/>
                <w:szCs w:val="20"/>
              </w:rPr>
              <w:t>were not characterized.</w:t>
            </w:r>
          </w:p>
        </w:tc>
        <w:tc>
          <w:tcPr>
            <w:tcW w:w="2520" w:type="dxa"/>
            <w:vMerge/>
          </w:tcPr>
          <w:p w14:paraId="514F3933" w14:textId="77777777" w:rsidR="00F054B2" w:rsidRPr="00B16053" w:rsidRDefault="00F054B2" w:rsidP="0051520C">
            <w:pPr>
              <w:rPr>
                <w:sz w:val="20"/>
                <w:szCs w:val="20"/>
              </w:rPr>
            </w:pPr>
          </w:p>
        </w:tc>
        <w:tc>
          <w:tcPr>
            <w:tcW w:w="3150" w:type="dxa"/>
            <w:tcBorders>
              <w:left w:val="single" w:sz="4" w:space="0" w:color="auto"/>
              <w:bottom w:val="single" w:sz="4" w:space="0" w:color="auto"/>
              <w:right w:val="single" w:sz="4" w:space="0" w:color="auto"/>
            </w:tcBorders>
            <w:shd w:val="clear" w:color="auto" w:fill="auto"/>
          </w:tcPr>
          <w:p w14:paraId="67524CC4" w14:textId="485D185D" w:rsidR="00F054B2" w:rsidRPr="00B16053" w:rsidRDefault="00F054B2" w:rsidP="0051520C">
            <w:pPr>
              <w:rPr>
                <w:sz w:val="20"/>
                <w:szCs w:val="20"/>
              </w:rPr>
            </w:pPr>
            <w:r w:rsidRPr="33FB9B46">
              <w:rPr>
                <w:sz w:val="20"/>
                <w:szCs w:val="20"/>
              </w:rPr>
              <w:t xml:space="preserve">Long-term: Burn pits cannot be evaluated independently from the ambient air; however, burn pit smoke may have contributed to the ambient air long-term health risk estimates. See Section 2 for the long-term ambient air health risk estimates. Typically, exposure to burn pit </w:t>
            </w:r>
            <w:r w:rsidRPr="33FB9B46">
              <w:rPr>
                <w:sz w:val="20"/>
                <w:szCs w:val="20"/>
              </w:rPr>
              <w:lastRenderedPageBreak/>
              <w:t xml:space="preserve">smoke is variable. Exposure to high levels of </w:t>
            </w:r>
            <w:r w:rsidRPr="33FB9B46">
              <w:rPr>
                <w:sz w:val="20"/>
                <w:szCs w:val="20"/>
                <w:highlight w:val="yellow"/>
              </w:rPr>
              <w:t>PM</w:t>
            </w:r>
            <w:r w:rsidRPr="33FB9B46">
              <w:rPr>
                <w:rStyle w:val="StyleSubscript"/>
                <w:sz w:val="20"/>
                <w:szCs w:val="20"/>
                <w:highlight w:val="yellow"/>
              </w:rPr>
              <w:t>2.5</w:t>
            </w:r>
            <w:r w:rsidRPr="33FB9B46">
              <w:rPr>
                <w:sz w:val="20"/>
                <w:szCs w:val="20"/>
              </w:rPr>
              <w:t xml:space="preserve"> in the smoke may be associated with some otherwise healthy personnel, who were exposed for a long-term period, possibly developing certain health conditions (e.g., reduced lung function, cardiopulmonary disease). Personnel with a history of asthma or cardiopulmonary disease could potentially be more likely to develop such chronic health conditions. Additionally other contaminants expected from burning solid waste such as </w:t>
            </w:r>
            <w:r w:rsidRPr="33FB9B46">
              <w:rPr>
                <w:sz w:val="20"/>
                <w:szCs w:val="20"/>
                <w:highlight w:val="yellow"/>
              </w:rPr>
              <w:t xml:space="preserve">volatile or semi-volatile organic compounds, dioxins, furans or acid gases </w:t>
            </w:r>
            <w:r w:rsidRPr="33FB9B46">
              <w:rPr>
                <w:sz w:val="20"/>
                <w:szCs w:val="20"/>
              </w:rPr>
              <w:t>were not characterized.</w:t>
            </w:r>
          </w:p>
        </w:tc>
      </w:tr>
    </w:tbl>
    <w:p w14:paraId="55AB809D" w14:textId="1970100C" w:rsidR="00D815E2" w:rsidRPr="00E27CC2" w:rsidRDefault="00D815E2" w:rsidP="00B16053">
      <w:pPr>
        <w:ind w:right="-90"/>
        <w:rPr>
          <w:sz w:val="18"/>
          <w:szCs w:val="18"/>
        </w:rPr>
      </w:pPr>
      <w:r w:rsidRPr="33C63274">
        <w:rPr>
          <w:sz w:val="18"/>
          <w:szCs w:val="18"/>
          <w:vertAlign w:val="superscript"/>
        </w:rPr>
        <w:lastRenderedPageBreak/>
        <w:t>1</w:t>
      </w:r>
      <w:r w:rsidRPr="33C63274">
        <w:rPr>
          <w:sz w:val="18"/>
          <w:szCs w:val="18"/>
        </w:rPr>
        <w:t xml:space="preserve">This Summary Table provides a qualitative estimate of population-based short- and long-term health risks associated with the occupational and environment </w:t>
      </w:r>
      <w:r w:rsidR="008A6222" w:rsidRPr="33C63274">
        <w:rPr>
          <w:sz w:val="18"/>
          <w:szCs w:val="18"/>
        </w:rPr>
        <w:t>exposures</w:t>
      </w:r>
      <w:r w:rsidRPr="33C63274">
        <w:rPr>
          <w:sz w:val="18"/>
          <w:szCs w:val="18"/>
        </w:rPr>
        <w:t xml:space="preserve"> at </w:t>
      </w:r>
      <w:r w:rsidRPr="33C63274">
        <w:rPr>
          <w:sz w:val="18"/>
          <w:szCs w:val="18"/>
          <w:highlight w:val="green"/>
        </w:rPr>
        <w:t>Camp XXX</w:t>
      </w:r>
      <w:r w:rsidRPr="33C63274">
        <w:rPr>
          <w:sz w:val="18"/>
          <w:szCs w:val="18"/>
        </w:rPr>
        <w:t xml:space="preserve">. It does not represent an individual exposure profile. Actual individual exposures and health effects depend on many variables. For example, while a chemical may have been present in the environment, </w:t>
      </w:r>
      <w:r w:rsidR="00D56190" w:rsidRPr="33C63274">
        <w:rPr>
          <w:sz w:val="18"/>
          <w:szCs w:val="18"/>
        </w:rPr>
        <w:t>an individual may not have inhaled, ingested, or otherwise contacted the chemical at a sufficient concentration for a sufficient time and frequency to potentially result in a health consequence</w:t>
      </w:r>
      <w:r w:rsidR="00D36489" w:rsidRPr="33C63274">
        <w:rPr>
          <w:sz w:val="18"/>
          <w:szCs w:val="18"/>
        </w:rPr>
        <w:t>. In other words, just because a chemical may be present</w:t>
      </w:r>
      <w:r w:rsidR="00EB48CD" w:rsidRPr="33C63274">
        <w:rPr>
          <w:sz w:val="18"/>
          <w:szCs w:val="18"/>
        </w:rPr>
        <w:t>,</w:t>
      </w:r>
      <w:r w:rsidR="00D36489" w:rsidRPr="33C63274">
        <w:rPr>
          <w:sz w:val="18"/>
          <w:szCs w:val="18"/>
        </w:rPr>
        <w:t xml:space="preserve"> </w:t>
      </w:r>
      <w:r w:rsidR="006C0B42" w:rsidRPr="33C63274">
        <w:rPr>
          <w:sz w:val="18"/>
          <w:szCs w:val="18"/>
        </w:rPr>
        <w:t>it</w:t>
      </w:r>
      <w:r w:rsidR="00D36489" w:rsidRPr="33C63274">
        <w:rPr>
          <w:sz w:val="18"/>
          <w:szCs w:val="18"/>
        </w:rPr>
        <w:t xml:space="preserve"> does not mean that an exposure occurred or that disease will ensue. </w:t>
      </w:r>
      <w:r w:rsidR="0022506F" w:rsidRPr="33C63274">
        <w:rPr>
          <w:sz w:val="18"/>
          <w:szCs w:val="18"/>
        </w:rPr>
        <w:t>Conversely,</w:t>
      </w:r>
      <w:r w:rsidRPr="33C63274">
        <w:rPr>
          <w:sz w:val="18"/>
          <w:szCs w:val="18"/>
        </w:rPr>
        <w:t xml:space="preserve"> a person at a specific location may have experienced a unique exposure which could result in a significant individual exposure</w:t>
      </w:r>
      <w:r w:rsidR="0022506F" w:rsidRPr="33C63274">
        <w:rPr>
          <w:sz w:val="18"/>
          <w:szCs w:val="18"/>
        </w:rPr>
        <w:t xml:space="preserve"> resulting in health consequences</w:t>
      </w:r>
      <w:r w:rsidRPr="33C63274">
        <w:rPr>
          <w:sz w:val="18"/>
          <w:szCs w:val="18"/>
        </w:rPr>
        <w:t xml:space="preserve">. Any such person seeking medical care should have </w:t>
      </w:r>
      <w:r w:rsidR="0022506F" w:rsidRPr="33C63274">
        <w:rPr>
          <w:sz w:val="18"/>
          <w:szCs w:val="18"/>
        </w:rPr>
        <w:t xml:space="preserve">had </w:t>
      </w:r>
      <w:r w:rsidRPr="33C63274">
        <w:rPr>
          <w:sz w:val="18"/>
          <w:szCs w:val="18"/>
        </w:rPr>
        <w:t xml:space="preserve">their specific exposure documented </w:t>
      </w:r>
      <w:r w:rsidR="0022506F" w:rsidRPr="33C63274">
        <w:rPr>
          <w:sz w:val="18"/>
          <w:szCs w:val="18"/>
        </w:rPr>
        <w:t xml:space="preserve">on a paper </w:t>
      </w:r>
      <w:r w:rsidRPr="33C63274">
        <w:rPr>
          <w:sz w:val="18"/>
          <w:szCs w:val="18"/>
        </w:rPr>
        <w:t>SF600</w:t>
      </w:r>
      <w:r w:rsidR="0022506F" w:rsidRPr="33C63274">
        <w:rPr>
          <w:sz w:val="18"/>
          <w:szCs w:val="18"/>
        </w:rPr>
        <w:t xml:space="preserve"> form </w:t>
      </w:r>
      <w:r w:rsidR="00580C96" w:rsidRPr="33C63274">
        <w:rPr>
          <w:sz w:val="18"/>
          <w:szCs w:val="18"/>
        </w:rPr>
        <w:t>and/</w:t>
      </w:r>
      <w:r w:rsidR="0022506F" w:rsidRPr="33C63274">
        <w:rPr>
          <w:sz w:val="18"/>
          <w:szCs w:val="18"/>
        </w:rPr>
        <w:t>or in their electronic medical record</w:t>
      </w:r>
      <w:r w:rsidRPr="33C63274">
        <w:rPr>
          <w:sz w:val="18"/>
          <w:szCs w:val="18"/>
        </w:rPr>
        <w:t xml:space="preserve">. </w:t>
      </w:r>
    </w:p>
    <w:p w14:paraId="2F71E12D" w14:textId="4848FDE4" w:rsidR="00D815E2" w:rsidRPr="00E27CC2" w:rsidRDefault="00D815E2" w:rsidP="00B16053">
      <w:pPr>
        <w:ind w:right="-90"/>
        <w:rPr>
          <w:sz w:val="18"/>
          <w:szCs w:val="18"/>
          <w:vertAlign w:val="superscript"/>
        </w:rPr>
      </w:pPr>
      <w:r w:rsidRPr="00E27CC2">
        <w:rPr>
          <w:sz w:val="18"/>
          <w:szCs w:val="18"/>
          <w:vertAlign w:val="superscript"/>
        </w:rPr>
        <w:t>2</w:t>
      </w:r>
      <w:r w:rsidRPr="00E27CC2">
        <w:rPr>
          <w:sz w:val="18"/>
          <w:szCs w:val="18"/>
        </w:rPr>
        <w:t xml:space="preserve"> This assessment is based on specific environmental </w:t>
      </w:r>
      <w:r w:rsidR="0022506F">
        <w:rPr>
          <w:sz w:val="18"/>
          <w:szCs w:val="18"/>
        </w:rPr>
        <w:t xml:space="preserve">area </w:t>
      </w:r>
      <w:r w:rsidRPr="00E27CC2">
        <w:rPr>
          <w:sz w:val="18"/>
          <w:szCs w:val="18"/>
        </w:rPr>
        <w:t xml:space="preserve">sampling data and reports obtained from </w:t>
      </w:r>
      <w:r w:rsidRPr="00E27CC2">
        <w:rPr>
          <w:sz w:val="18"/>
          <w:szCs w:val="18"/>
          <w:highlight w:val="yellow"/>
        </w:rPr>
        <w:t>Day Month Year</w:t>
      </w:r>
      <w:r w:rsidRPr="00E27CC2">
        <w:rPr>
          <w:sz w:val="18"/>
          <w:szCs w:val="18"/>
        </w:rPr>
        <w:t xml:space="preserve"> through </w:t>
      </w:r>
      <w:r w:rsidRPr="00E27CC2">
        <w:rPr>
          <w:sz w:val="18"/>
          <w:szCs w:val="18"/>
          <w:highlight w:val="yellow"/>
        </w:rPr>
        <w:t>Day Month Year</w:t>
      </w:r>
      <w:r w:rsidRPr="00E27CC2">
        <w:rPr>
          <w:sz w:val="18"/>
          <w:szCs w:val="18"/>
        </w:rPr>
        <w:t xml:space="preserve">. Sampling locations are assumed to be representative of exposure points for the camp population but may not reflect all the fluctuations in environmental quality or capture unique exposure incidents. </w:t>
      </w:r>
    </w:p>
    <w:p w14:paraId="3ED84288" w14:textId="3B10C1AC" w:rsidR="00D815E2" w:rsidRPr="00E27CC2" w:rsidRDefault="00D815E2" w:rsidP="00B16053">
      <w:pPr>
        <w:ind w:right="-90"/>
        <w:rPr>
          <w:sz w:val="18"/>
          <w:szCs w:val="18"/>
        </w:rPr>
      </w:pPr>
      <w:r w:rsidRPr="33C63274">
        <w:rPr>
          <w:sz w:val="18"/>
          <w:szCs w:val="18"/>
          <w:vertAlign w:val="superscript"/>
        </w:rPr>
        <w:t>3</w:t>
      </w:r>
      <w:r w:rsidRPr="33C63274">
        <w:rPr>
          <w:sz w:val="18"/>
          <w:szCs w:val="18"/>
        </w:rPr>
        <w:t xml:space="preserve">This Summary Table is organized by major categories of identified sources of health risk. It only lists those sub-categories specifically identified and addressed at </w:t>
      </w:r>
      <w:r w:rsidRPr="33C63274">
        <w:rPr>
          <w:sz w:val="18"/>
          <w:szCs w:val="18"/>
          <w:highlight w:val="green"/>
        </w:rPr>
        <w:t>Camp XXX</w:t>
      </w:r>
      <w:r w:rsidRPr="33C63274">
        <w:rPr>
          <w:sz w:val="18"/>
          <w:szCs w:val="18"/>
        </w:rPr>
        <w:t>. The health risks are presented as Low, Moderate, High</w:t>
      </w:r>
      <w:r w:rsidR="00990543" w:rsidRPr="33C63274">
        <w:rPr>
          <w:sz w:val="18"/>
          <w:szCs w:val="18"/>
        </w:rPr>
        <w:t>,</w:t>
      </w:r>
      <w:r w:rsidRPr="33C63274">
        <w:rPr>
          <w:sz w:val="18"/>
          <w:szCs w:val="18"/>
        </w:rPr>
        <w:t xml:space="preserve"> or Extremely High for both acute and chronic health effects. The health risk level is based on an assessment of both the potential severity of the health effects that could be caused and probability of the exposure that would produce such health effects. </w:t>
      </w:r>
      <w:bookmarkStart w:id="23" w:name="_Hlk160715618"/>
      <w:r w:rsidRPr="33C63274">
        <w:rPr>
          <w:sz w:val="18"/>
          <w:szCs w:val="18"/>
        </w:rPr>
        <w:t xml:space="preserve">Details can be obtained from the </w:t>
      </w:r>
      <w:r w:rsidR="00EF52A8" w:rsidRPr="00D85464">
        <w:rPr>
          <w:sz w:val="18"/>
          <w:szCs w:val="18"/>
        </w:rPr>
        <w:t>supporting Defense Centers for Public Health (</w:t>
      </w:r>
      <w:r w:rsidR="0022506F" w:rsidRPr="00D85464">
        <w:rPr>
          <w:sz w:val="18"/>
          <w:szCs w:val="18"/>
        </w:rPr>
        <w:t>DCPH</w:t>
      </w:r>
      <w:r w:rsidR="00FE02C2" w:rsidRPr="00D85464">
        <w:rPr>
          <w:sz w:val="18"/>
          <w:szCs w:val="18"/>
        </w:rPr>
        <w:t xml:space="preserve">) to </w:t>
      </w:r>
      <w:r w:rsidR="00F271D4" w:rsidRPr="00D85464">
        <w:rPr>
          <w:sz w:val="18"/>
          <w:szCs w:val="18"/>
        </w:rPr>
        <w:t>include DCPH</w:t>
      </w:r>
      <w:r w:rsidR="0022506F" w:rsidRPr="00D85464">
        <w:rPr>
          <w:sz w:val="18"/>
          <w:szCs w:val="18"/>
        </w:rPr>
        <w:t>-A</w:t>
      </w:r>
      <w:r w:rsidR="00F271D4" w:rsidRPr="00D85464">
        <w:rPr>
          <w:sz w:val="18"/>
          <w:szCs w:val="18"/>
        </w:rPr>
        <w:t xml:space="preserve"> (Aberdeen)</w:t>
      </w:r>
      <w:r w:rsidR="00EF52A8" w:rsidRPr="00D85464">
        <w:rPr>
          <w:sz w:val="18"/>
          <w:szCs w:val="18"/>
        </w:rPr>
        <w:t xml:space="preserve">, </w:t>
      </w:r>
      <w:r w:rsidR="0022506F" w:rsidRPr="00D85464">
        <w:rPr>
          <w:sz w:val="18"/>
          <w:szCs w:val="18"/>
        </w:rPr>
        <w:t xml:space="preserve">formerly known as </w:t>
      </w:r>
      <w:r w:rsidR="001B7B97" w:rsidRPr="00D85464">
        <w:rPr>
          <w:sz w:val="18"/>
          <w:szCs w:val="18"/>
        </w:rPr>
        <w:t xml:space="preserve">U.S. </w:t>
      </w:r>
      <w:r w:rsidR="008D2E35" w:rsidRPr="00D85464">
        <w:rPr>
          <w:sz w:val="18"/>
          <w:szCs w:val="18"/>
        </w:rPr>
        <w:t>Army Public Health Center (</w:t>
      </w:r>
      <w:r w:rsidR="001B7B97" w:rsidRPr="00D85464">
        <w:rPr>
          <w:sz w:val="18"/>
          <w:szCs w:val="18"/>
        </w:rPr>
        <w:t>US</w:t>
      </w:r>
      <w:r w:rsidRPr="00D85464">
        <w:rPr>
          <w:sz w:val="18"/>
          <w:szCs w:val="18"/>
        </w:rPr>
        <w:t>APHC</w:t>
      </w:r>
      <w:r w:rsidR="008D2E35" w:rsidRPr="00D85464">
        <w:rPr>
          <w:sz w:val="18"/>
          <w:szCs w:val="18"/>
        </w:rPr>
        <w:t>)</w:t>
      </w:r>
      <w:r w:rsidR="00EF52A8" w:rsidRPr="00D85464">
        <w:rPr>
          <w:sz w:val="18"/>
          <w:szCs w:val="18"/>
        </w:rPr>
        <w:t>; DCPH-D</w:t>
      </w:r>
      <w:r w:rsidR="00880AC6" w:rsidRPr="00D85464">
        <w:rPr>
          <w:sz w:val="18"/>
          <w:szCs w:val="18"/>
        </w:rPr>
        <w:t xml:space="preserve"> (Dayton)</w:t>
      </w:r>
      <w:r w:rsidR="00EF52A8" w:rsidRPr="00D85464">
        <w:rPr>
          <w:sz w:val="18"/>
          <w:szCs w:val="18"/>
        </w:rPr>
        <w:t xml:space="preserve"> or </w:t>
      </w:r>
      <w:r w:rsidR="000E5C6A" w:rsidRPr="00D85464">
        <w:rPr>
          <w:sz w:val="18"/>
          <w:szCs w:val="18"/>
        </w:rPr>
        <w:t>U</w:t>
      </w:r>
      <w:r w:rsidR="007A64F4" w:rsidRPr="00D85464">
        <w:rPr>
          <w:sz w:val="18"/>
          <w:szCs w:val="18"/>
        </w:rPr>
        <w:t>.S. Air Force School of Aerospace Medicine (</w:t>
      </w:r>
      <w:r w:rsidR="00EF52A8" w:rsidRPr="00D85464">
        <w:rPr>
          <w:sz w:val="18"/>
          <w:szCs w:val="18"/>
        </w:rPr>
        <w:t>USAFSAM</w:t>
      </w:r>
      <w:r w:rsidR="007A64F4" w:rsidRPr="00D85464">
        <w:rPr>
          <w:sz w:val="18"/>
          <w:szCs w:val="18"/>
        </w:rPr>
        <w:t>)</w:t>
      </w:r>
      <w:r w:rsidR="00EF52A8" w:rsidRPr="00D85464">
        <w:rPr>
          <w:sz w:val="18"/>
          <w:szCs w:val="18"/>
        </w:rPr>
        <w:t>; DCPH-P</w:t>
      </w:r>
      <w:r w:rsidR="00880AC6" w:rsidRPr="00D85464">
        <w:rPr>
          <w:sz w:val="18"/>
          <w:szCs w:val="18"/>
        </w:rPr>
        <w:t xml:space="preserve"> (Portsmouth)</w:t>
      </w:r>
      <w:r w:rsidR="00EF52A8" w:rsidRPr="00D85464">
        <w:rPr>
          <w:sz w:val="18"/>
          <w:szCs w:val="18"/>
        </w:rPr>
        <w:t xml:space="preserve"> or </w:t>
      </w:r>
      <w:r w:rsidR="001B7B97" w:rsidRPr="00D85464">
        <w:rPr>
          <w:sz w:val="18"/>
          <w:szCs w:val="18"/>
        </w:rPr>
        <w:t xml:space="preserve">U.S. </w:t>
      </w:r>
      <w:r w:rsidR="000E1EBF" w:rsidRPr="00D85464">
        <w:rPr>
          <w:sz w:val="18"/>
          <w:szCs w:val="18"/>
        </w:rPr>
        <w:t>Navy and Marine Corp</w:t>
      </w:r>
      <w:r w:rsidR="00A121B0" w:rsidRPr="00D85464">
        <w:rPr>
          <w:sz w:val="18"/>
          <w:szCs w:val="18"/>
        </w:rPr>
        <w:t>s Force Health Protection Command (</w:t>
      </w:r>
      <w:r w:rsidR="00EF52A8" w:rsidRPr="00D85464">
        <w:rPr>
          <w:sz w:val="18"/>
          <w:szCs w:val="18"/>
        </w:rPr>
        <w:t>USNMCFHPC</w:t>
      </w:r>
      <w:r w:rsidR="00AA4CE5" w:rsidRPr="00D85464">
        <w:rPr>
          <w:sz w:val="18"/>
          <w:szCs w:val="18"/>
        </w:rPr>
        <w:t>)</w:t>
      </w:r>
      <w:r w:rsidRPr="00D85464">
        <w:rPr>
          <w:sz w:val="18"/>
          <w:szCs w:val="18"/>
        </w:rPr>
        <w:t>.</w:t>
      </w:r>
      <w:r w:rsidRPr="33C63274">
        <w:rPr>
          <w:sz w:val="18"/>
          <w:szCs w:val="18"/>
        </w:rPr>
        <w:t xml:space="preserve"> </w:t>
      </w:r>
      <w:bookmarkEnd w:id="23"/>
      <w:r w:rsidRPr="33C63274">
        <w:rPr>
          <w:sz w:val="18"/>
          <w:szCs w:val="18"/>
        </w:rPr>
        <w:t>Where applicable, “None Identified” is used when a potential exposure is identified, and no health risks of either a specific acute or chronic health effects are determined. More detailed descriptions of OEH exposures that are evaluated but determined to pose no health risk are discussed</w:t>
      </w:r>
      <w:r w:rsidR="00AA4CE5" w:rsidRPr="33C63274">
        <w:rPr>
          <w:sz w:val="18"/>
          <w:szCs w:val="18"/>
        </w:rPr>
        <w:t>,</w:t>
      </w:r>
      <w:r w:rsidRPr="33C63274">
        <w:rPr>
          <w:sz w:val="18"/>
          <w:szCs w:val="18"/>
        </w:rPr>
        <w:t xml:space="preserve"> in </w:t>
      </w:r>
      <w:r w:rsidR="0022506F" w:rsidRPr="33C63274">
        <w:rPr>
          <w:sz w:val="18"/>
          <w:szCs w:val="18"/>
        </w:rPr>
        <w:t>detail</w:t>
      </w:r>
      <w:r w:rsidR="00AA4CE5" w:rsidRPr="33C63274">
        <w:rPr>
          <w:sz w:val="18"/>
          <w:szCs w:val="18"/>
        </w:rPr>
        <w:t>, in</w:t>
      </w:r>
      <w:r w:rsidR="0022506F" w:rsidRPr="33C63274">
        <w:rPr>
          <w:sz w:val="18"/>
          <w:szCs w:val="18"/>
        </w:rPr>
        <w:t xml:space="preserve"> </w:t>
      </w:r>
      <w:r w:rsidRPr="33C63274">
        <w:rPr>
          <w:sz w:val="18"/>
          <w:szCs w:val="18"/>
        </w:rPr>
        <w:t>the following sections of this report.</w:t>
      </w:r>
    </w:p>
    <w:p w14:paraId="097D2451" w14:textId="0300E20B" w:rsidR="00D815E2" w:rsidRPr="00E27CC2" w:rsidRDefault="00D815E2" w:rsidP="00B16053">
      <w:pPr>
        <w:ind w:right="-90"/>
        <w:rPr>
          <w:sz w:val="18"/>
          <w:szCs w:val="18"/>
        </w:rPr>
      </w:pPr>
      <w:r w:rsidRPr="33C63274">
        <w:rPr>
          <w:sz w:val="18"/>
          <w:szCs w:val="18"/>
          <w:vertAlign w:val="superscript"/>
        </w:rPr>
        <w:t>4</w:t>
      </w:r>
      <w:r w:rsidRPr="33C63274">
        <w:rPr>
          <w:sz w:val="18"/>
          <w:szCs w:val="18"/>
        </w:rPr>
        <w:t>Health risks in this Summary Table are based on quantitative surveillance thresholds (e.g., endemic disease rates; host/vector/pathogen surveillance) or screening levels, e.g., Military Exposure Guidelines (MEGs) for chemicals. Some previous assessment reports may provide slightly inconsistent health risk estimates because quantitative criteria such as MEGs may have changed since the samples were originally evaluated and/or because this assessment makes use of all historic site data while previous reports may have only been based on a select few samples.</w:t>
      </w:r>
    </w:p>
    <w:p w14:paraId="125E37B2" w14:textId="6F4BE002" w:rsidR="4096FFE2" w:rsidRDefault="4096FFE2" w:rsidP="33C63274">
      <w:pPr>
        <w:ind w:right="-90"/>
        <w:rPr>
          <w:sz w:val="18"/>
          <w:szCs w:val="18"/>
        </w:rPr>
      </w:pPr>
      <w:r w:rsidRPr="33C63274">
        <w:rPr>
          <w:sz w:val="18"/>
          <w:szCs w:val="18"/>
          <w:vertAlign w:val="superscript"/>
        </w:rPr>
        <w:t>5</w:t>
      </w:r>
      <w:r w:rsidR="6470BBEE" w:rsidRPr="33C63274">
        <w:rPr>
          <w:sz w:val="18"/>
          <w:szCs w:val="18"/>
        </w:rPr>
        <w:t>The Residual Health Risk Estimate</w:t>
      </w:r>
      <w:r w:rsidR="7D926BE8" w:rsidRPr="33C63274">
        <w:rPr>
          <w:sz w:val="18"/>
          <w:szCs w:val="18"/>
        </w:rPr>
        <w:t>s</w:t>
      </w:r>
      <w:r w:rsidR="6470BBEE" w:rsidRPr="33C63274">
        <w:rPr>
          <w:sz w:val="18"/>
          <w:szCs w:val="18"/>
        </w:rPr>
        <w:t xml:space="preserve"> provide the risk </w:t>
      </w:r>
      <w:r w:rsidR="5E8E57AC" w:rsidRPr="33C63274">
        <w:rPr>
          <w:sz w:val="18"/>
          <w:szCs w:val="18"/>
        </w:rPr>
        <w:t xml:space="preserve">level(s) that remain for the </w:t>
      </w:r>
      <w:r w:rsidR="00C83842" w:rsidRPr="33C63274">
        <w:rPr>
          <w:sz w:val="18"/>
          <w:szCs w:val="18"/>
        </w:rPr>
        <w:t>potentially exposed</w:t>
      </w:r>
      <w:r w:rsidR="5E8E57AC" w:rsidRPr="33C63274">
        <w:rPr>
          <w:sz w:val="18"/>
          <w:szCs w:val="18"/>
        </w:rPr>
        <w:t xml:space="preserve"> population after the </w:t>
      </w:r>
      <w:r w:rsidR="026813B9" w:rsidRPr="33C63274">
        <w:rPr>
          <w:sz w:val="18"/>
          <w:szCs w:val="18"/>
        </w:rPr>
        <w:t>listed control measures were applied (e.g., the acute risk from noise may be ‘</w:t>
      </w:r>
      <w:r w:rsidR="2641CFC5" w:rsidRPr="33C63274">
        <w:rPr>
          <w:sz w:val="18"/>
          <w:szCs w:val="18"/>
        </w:rPr>
        <w:t xml:space="preserve">high’ </w:t>
      </w:r>
      <w:r w:rsidR="36CBF603" w:rsidRPr="33C63274">
        <w:rPr>
          <w:sz w:val="18"/>
          <w:szCs w:val="18"/>
        </w:rPr>
        <w:t xml:space="preserve">initially, </w:t>
      </w:r>
      <w:r w:rsidR="2641CFC5" w:rsidRPr="33C63274">
        <w:rPr>
          <w:sz w:val="18"/>
          <w:szCs w:val="18"/>
        </w:rPr>
        <w:t>but if proper hearing protection was used, the risk would have decreased to ‘l</w:t>
      </w:r>
      <w:r w:rsidR="1E2637AA" w:rsidRPr="33C63274">
        <w:rPr>
          <w:sz w:val="18"/>
          <w:szCs w:val="18"/>
        </w:rPr>
        <w:t>ow’ for the population).</w:t>
      </w:r>
    </w:p>
    <w:p w14:paraId="6FB75FAE" w14:textId="41CB0BB3" w:rsidR="00FA6187" w:rsidRPr="00F83550" w:rsidRDefault="004C4A10" w:rsidP="00B16053">
      <w:pPr>
        <w:ind w:right="-90"/>
        <w:rPr>
          <w:color w:val="FFFFFF" w:themeColor="background1"/>
          <w:highlight w:val="yellow"/>
        </w:rPr>
      </w:pPr>
      <w:r w:rsidRPr="00F83550">
        <w:rPr>
          <w:highlight w:val="yellow"/>
        </w:rPr>
        <w:br w:type="page"/>
      </w:r>
    </w:p>
    <w:p w14:paraId="2182710B" w14:textId="068905C6" w:rsidR="00773BE3" w:rsidRPr="004942CA" w:rsidRDefault="00773BE3" w:rsidP="0010791E">
      <w:pPr>
        <w:pStyle w:val="Heading1"/>
      </w:pPr>
      <w:r w:rsidRPr="004942CA">
        <w:lastRenderedPageBreak/>
        <w:t xml:space="preserve">Health Risk Assessment </w:t>
      </w:r>
    </w:p>
    <w:p w14:paraId="529740D4" w14:textId="77777777" w:rsidR="005F76BB" w:rsidRPr="00F83550" w:rsidRDefault="005F76BB" w:rsidP="0051520C"/>
    <w:p w14:paraId="5403B829" w14:textId="07874659" w:rsidR="00204771" w:rsidRDefault="00B22213" w:rsidP="0051520C">
      <w:r>
        <w:t xml:space="preserve">The following sections provide </w:t>
      </w:r>
      <w:r w:rsidR="0022506F">
        <w:t xml:space="preserve">more detailed </w:t>
      </w:r>
      <w:r w:rsidR="00990543">
        <w:t>i</w:t>
      </w:r>
      <w:r>
        <w:t>nformation</w:t>
      </w:r>
      <w:r w:rsidR="0022506F">
        <w:t xml:space="preserve"> </w:t>
      </w:r>
      <w:r w:rsidR="0000671F">
        <w:t>on</w:t>
      </w:r>
      <w:r>
        <w:t xml:space="preserve"> the OEH conditions</w:t>
      </w:r>
      <w:r w:rsidR="0000671F">
        <w:t xml:space="preserve"> and health risks</w:t>
      </w:r>
      <w:r>
        <w:t xml:space="preserve"> summarized above</w:t>
      </w:r>
      <w:r w:rsidR="002C6D14">
        <w:t xml:space="preserve">. </w:t>
      </w:r>
      <w:r>
        <w:t>All risk assessments were performed using the methodology described in the U</w:t>
      </w:r>
      <w:r w:rsidR="008F5D7C">
        <w:t>.</w:t>
      </w:r>
      <w:r>
        <w:t>S</w:t>
      </w:r>
      <w:r w:rsidR="008F5D7C">
        <w:t>.</w:t>
      </w:r>
      <w:r>
        <w:t xml:space="preserve"> Army Public Health Command </w:t>
      </w:r>
      <w:r w:rsidR="00A83886">
        <w:t xml:space="preserve">(USAPHC) </w:t>
      </w:r>
      <w:r>
        <w:t xml:space="preserve">Technical Guide 230, </w:t>
      </w:r>
      <w:r w:rsidRPr="33C63274">
        <w:rPr>
          <w:i/>
          <w:iCs/>
        </w:rPr>
        <w:t xml:space="preserve">Environmental Health Risk Assessment and Chemical Exposure Guidelines for Deployed Military Personnel </w:t>
      </w:r>
      <w:r w:rsidR="00324A9F">
        <w:t xml:space="preserve">(Reference </w:t>
      </w:r>
      <w:r w:rsidR="00971325" w:rsidRPr="33C63274">
        <w:rPr>
          <w:highlight w:val="yellow"/>
        </w:rPr>
        <w:t>XX</w:t>
      </w:r>
      <w:r w:rsidR="00324A9F">
        <w:t>)</w:t>
      </w:r>
      <w:r w:rsidR="002C6D14">
        <w:t xml:space="preserve">. </w:t>
      </w:r>
      <w:r>
        <w:t>All OEH risk estimates represent residual risk after accounting for preventive controls in place</w:t>
      </w:r>
      <w:r w:rsidR="002C6D14">
        <w:t xml:space="preserve">. </w:t>
      </w:r>
      <w:r>
        <w:t xml:space="preserve">Occupational exposures and </w:t>
      </w:r>
      <w:r w:rsidR="0022506F">
        <w:t xml:space="preserve">exposures to </w:t>
      </w:r>
      <w:r>
        <w:t xml:space="preserve">endemic diseases </w:t>
      </w:r>
      <w:r w:rsidR="0022506F">
        <w:t>can be</w:t>
      </w:r>
      <w:r>
        <w:t xml:space="preserve"> greatly reduced by </w:t>
      </w:r>
      <w:r w:rsidR="0022506F">
        <w:t xml:space="preserve">properly employing </w:t>
      </w:r>
      <w:r>
        <w:t>preventive measures</w:t>
      </w:r>
      <w:r w:rsidR="002C6D14">
        <w:t xml:space="preserve">. </w:t>
      </w:r>
      <w:r>
        <w:t xml:space="preserve">For environmental exposures related to </w:t>
      </w:r>
      <w:r w:rsidR="0000671F">
        <w:t xml:space="preserve">uncontrolled hazard sources (e.g., </w:t>
      </w:r>
      <w:r>
        <w:t>airborne dust</w:t>
      </w:r>
      <w:r w:rsidR="0000671F">
        <w:t>)</w:t>
      </w:r>
      <w:r>
        <w:t xml:space="preserve">, there are </w:t>
      </w:r>
      <w:r w:rsidR="0022506F">
        <w:t xml:space="preserve">typically </w:t>
      </w:r>
      <w:r>
        <w:t>limited preventive measures available</w:t>
      </w:r>
      <w:r w:rsidR="00C70EC9">
        <w:t>,</w:t>
      </w:r>
      <w:r>
        <w:t xml:space="preserve"> and </w:t>
      </w:r>
      <w:r w:rsidR="0000671F">
        <w:t>these</w:t>
      </w:r>
      <w:r>
        <w:t xml:space="preserve"> measures </w:t>
      </w:r>
      <w:r w:rsidR="0022506F">
        <w:t xml:space="preserve">usually </w:t>
      </w:r>
      <w:r>
        <w:t>have little efficacy in reducing exposure to ambient conditions.</w:t>
      </w:r>
    </w:p>
    <w:p w14:paraId="5B571A8F" w14:textId="4F11181A" w:rsidR="005F76BB" w:rsidRPr="005B4526" w:rsidRDefault="005F76BB" w:rsidP="0051520C"/>
    <w:p w14:paraId="52375100" w14:textId="7C5AC236" w:rsidR="00051E93" w:rsidRPr="00F83550" w:rsidRDefault="00051E93" w:rsidP="0010791E">
      <w:pPr>
        <w:pStyle w:val="Heading1"/>
      </w:pPr>
      <w:r w:rsidRPr="00F83550">
        <w:t>Air</w:t>
      </w:r>
    </w:p>
    <w:p w14:paraId="2561A10C" w14:textId="3D2A8501" w:rsidR="005D2416" w:rsidRDefault="005D2416" w:rsidP="0051520C"/>
    <w:p w14:paraId="160940A2" w14:textId="0CD66404" w:rsidR="00B55010" w:rsidRPr="00FD4769" w:rsidRDefault="00B55010" w:rsidP="00580B36">
      <w:pPr>
        <w:pStyle w:val="Heading2"/>
      </w:pPr>
      <w:r>
        <w:t>Air Quality Background</w:t>
      </w:r>
      <w:r w:rsidR="000258C7">
        <w:t xml:space="preserve"> and </w:t>
      </w:r>
      <w:r>
        <w:t xml:space="preserve">Exposure Guidelines </w:t>
      </w:r>
    </w:p>
    <w:p w14:paraId="7C013CA6" w14:textId="77777777" w:rsidR="00B55010" w:rsidRDefault="00B55010" w:rsidP="00B55010"/>
    <w:p w14:paraId="5680962D" w14:textId="77777777" w:rsidR="00B55010" w:rsidRDefault="00B55010" w:rsidP="00B55010">
      <w:pPr>
        <w:pStyle w:val="Heading3"/>
      </w:pPr>
      <w:r>
        <w:t>Background</w:t>
      </w:r>
    </w:p>
    <w:p w14:paraId="2C820BE8" w14:textId="3CA60C73" w:rsidR="6BE0D143" w:rsidRDefault="6BE0D143" w:rsidP="6BE0D143"/>
    <w:p w14:paraId="5BAC4030" w14:textId="16324718" w:rsidR="008A65C1" w:rsidRPr="00B130D4" w:rsidRDefault="001F473D" w:rsidP="00B130D4">
      <w:r w:rsidRPr="00B130D4">
        <w:t xml:space="preserve">Air pollution is a complex mixture of gaseous and particulate components, each of which </w:t>
      </w:r>
      <w:r w:rsidR="000C2A4B" w:rsidRPr="00B130D4">
        <w:t>can have</w:t>
      </w:r>
      <w:r w:rsidRPr="00B130D4">
        <w:t xml:space="preserve"> detrimental effects on human health. While the composition of air pollution varies greatly (depending on </w:t>
      </w:r>
      <w:r w:rsidR="000C2A4B" w:rsidRPr="00B130D4">
        <w:t xml:space="preserve">factors such as </w:t>
      </w:r>
      <w:r w:rsidRPr="00B130D4">
        <w:t>the source, emission rate, sunlight</w:t>
      </w:r>
      <w:r w:rsidR="000C2A4B" w:rsidRPr="00B130D4">
        <w:t>, and</w:t>
      </w:r>
      <w:r w:rsidRPr="00B130D4">
        <w:t xml:space="preserve"> wind conditions),</w:t>
      </w:r>
      <w:r w:rsidR="000C2A4B" w:rsidRPr="00B130D4">
        <w:t xml:space="preserve"> the</w:t>
      </w:r>
      <w:r w:rsidRPr="00B130D4">
        <w:t xml:space="preserve"> particulate matter (PM)</w:t>
      </w:r>
      <w:r w:rsidR="000C2A4B" w:rsidRPr="00B130D4">
        <w:t>-associated</w:t>
      </w:r>
      <w:r w:rsidRPr="00B130D4">
        <w:t xml:space="preserve"> air pollut</w:t>
      </w:r>
      <w:r w:rsidR="000C2A4B" w:rsidRPr="00B130D4">
        <w:t>ants</w:t>
      </w:r>
      <w:r w:rsidR="00B130D4">
        <w:t xml:space="preserve"> typically</w:t>
      </w:r>
      <w:r w:rsidR="0095554A" w:rsidRPr="00B130D4">
        <w:t xml:space="preserve"> </w:t>
      </w:r>
      <w:r w:rsidRPr="00B130D4">
        <w:t>impact health to a greater extent than the gaseous components.</w:t>
      </w:r>
      <w:r w:rsidR="0095554A" w:rsidRPr="00B130D4">
        <w:t xml:space="preserve"> Gaseous components </w:t>
      </w:r>
      <w:r w:rsidR="0099056E" w:rsidRPr="00B130D4">
        <w:t xml:space="preserve">of general air pollution </w:t>
      </w:r>
      <w:r w:rsidR="0095554A" w:rsidRPr="00B130D4">
        <w:t>typically include nitrogen dioxide</w:t>
      </w:r>
      <w:commentRangeStart w:id="24"/>
      <w:r w:rsidR="0095554A" w:rsidRPr="00B130D4">
        <w:t xml:space="preserve"> (NO</w:t>
      </w:r>
      <w:r w:rsidR="0095554A" w:rsidRPr="00B130D4">
        <w:rPr>
          <w:vertAlign w:val="subscript"/>
        </w:rPr>
        <w:t>2</w:t>
      </w:r>
      <w:r w:rsidR="0095554A" w:rsidRPr="00B130D4">
        <w:t>), nitric oxide (NO), sulfur dioxide (SO</w:t>
      </w:r>
      <w:r w:rsidR="0095554A" w:rsidRPr="00B130D4">
        <w:rPr>
          <w:vertAlign w:val="subscript"/>
        </w:rPr>
        <w:t>2</w:t>
      </w:r>
      <w:r w:rsidR="0095554A" w:rsidRPr="00B130D4">
        <w:t>), ozone (O</w:t>
      </w:r>
      <w:r w:rsidR="0095554A" w:rsidRPr="00B130D4">
        <w:rPr>
          <w:vertAlign w:val="subscript"/>
        </w:rPr>
        <w:t>3</w:t>
      </w:r>
      <w:r w:rsidR="0095554A" w:rsidRPr="00B130D4">
        <w:t xml:space="preserve">) and carbon monoxide (CO). </w:t>
      </w:r>
      <w:commentRangeEnd w:id="24"/>
      <w:r w:rsidR="009E6CC7">
        <w:rPr>
          <w:rStyle w:val="CommentReference"/>
        </w:rPr>
        <w:commentReference w:id="24"/>
      </w:r>
    </w:p>
    <w:p w14:paraId="4B320D02" w14:textId="77777777" w:rsidR="00B130D4" w:rsidRDefault="00B130D4" w:rsidP="00B130D4"/>
    <w:p w14:paraId="52D7FCC3" w14:textId="16925455" w:rsidR="001F473D" w:rsidRPr="00B130D4" w:rsidRDefault="0095554A" w:rsidP="3ADA23BB">
      <w:r>
        <w:t>Airborne PM is not a single pollutant but is rather a mixture of many chemical species of varying sizes and variable content</w:t>
      </w:r>
      <w:r w:rsidR="00DE3640">
        <w:t>.</w:t>
      </w:r>
      <w:r>
        <w:t xml:space="preserve"> </w:t>
      </w:r>
      <w:r w:rsidR="00DE3640">
        <w:t xml:space="preserve">The PM </w:t>
      </w:r>
      <w:r>
        <w:t xml:space="preserve">usually </w:t>
      </w:r>
      <w:r w:rsidR="00DE3640">
        <w:t>consists</w:t>
      </w:r>
      <w:r>
        <w:t xml:space="preserve"> of </w:t>
      </w:r>
      <w:r w:rsidR="2DBE5715">
        <w:t xml:space="preserve">mineralogic dusts containing metals (e.g., copper, iron, nickel, vanadium, zinc), </w:t>
      </w:r>
      <w:r>
        <w:t>carbonaceous particles with associated adsorbed organic chemicals and reactive metals</w:t>
      </w:r>
      <w:r w:rsidR="00B130D4">
        <w:t>,</w:t>
      </w:r>
      <w:r w:rsidR="00DE3640">
        <w:t xml:space="preserve"> </w:t>
      </w:r>
      <w:r w:rsidR="00B130D4">
        <w:t xml:space="preserve">plus </w:t>
      </w:r>
      <w:r>
        <w:t xml:space="preserve">nitrates, sulfates, polycyclic aromatic hydrocarbons, bacterial endotoxins, and </w:t>
      </w:r>
      <w:r w:rsidR="00B130D4">
        <w:t>organic matter (e.g., pollen and spores</w:t>
      </w:r>
      <w:r w:rsidR="008C2556">
        <w:t>)</w:t>
      </w:r>
      <w:r>
        <w:t>.</w:t>
      </w:r>
    </w:p>
    <w:p w14:paraId="1327DE2D" w14:textId="77777777" w:rsidR="00B130D4" w:rsidRDefault="00B130D4" w:rsidP="00B130D4"/>
    <w:p w14:paraId="2E60030C" w14:textId="65EDC88E" w:rsidR="00D03200" w:rsidRDefault="00B130D4" w:rsidP="00B130D4">
      <w:r>
        <w:t xml:space="preserve">The </w:t>
      </w:r>
      <w:r w:rsidR="0095554A">
        <w:t>PM is subclassiﬁed according to particle size into coarse (PM</w:t>
      </w:r>
      <w:r w:rsidR="0095554A" w:rsidRPr="7E3D741A">
        <w:rPr>
          <w:vertAlign w:val="subscript"/>
        </w:rPr>
        <w:t>10</w:t>
      </w:r>
      <w:r w:rsidR="0095554A">
        <w:t>, diameter &lt;10µm), ﬁne (PM</w:t>
      </w:r>
      <w:r w:rsidR="0095554A" w:rsidRPr="7E3D741A">
        <w:rPr>
          <w:vertAlign w:val="subscript"/>
        </w:rPr>
        <w:t>2.5</w:t>
      </w:r>
      <w:r w:rsidR="0095554A">
        <w:t>, diameter &lt;2.5µm), and ultraﬁne (PM</w:t>
      </w:r>
      <w:r w:rsidR="0095554A" w:rsidRPr="7E3D741A">
        <w:rPr>
          <w:vertAlign w:val="subscript"/>
        </w:rPr>
        <w:t>0.1</w:t>
      </w:r>
      <w:r w:rsidR="0095554A">
        <w:t>, diameter &lt;0.1µm).</w:t>
      </w:r>
      <w:r w:rsidR="000C2A4B">
        <w:t xml:space="preserve"> Note that the fine and ultrafine PM are components of coarse PM and likewise, ultrafine PM is a component of fine PM. Environmental sampling typically focuses only on the</w:t>
      </w:r>
      <w:r w:rsidR="00721ACD">
        <w:t xml:space="preserve"> PM</w:t>
      </w:r>
      <w:r w:rsidR="00721ACD" w:rsidRPr="7E3D741A">
        <w:rPr>
          <w:vertAlign w:val="subscript"/>
        </w:rPr>
        <w:t>10</w:t>
      </w:r>
      <w:r w:rsidR="000C2A4B">
        <w:t xml:space="preserve"> and </w:t>
      </w:r>
      <w:r w:rsidR="00721ACD">
        <w:t>PM</w:t>
      </w:r>
      <w:r w:rsidR="00721ACD" w:rsidRPr="7E3D741A">
        <w:rPr>
          <w:vertAlign w:val="subscript"/>
        </w:rPr>
        <w:t>2.5</w:t>
      </w:r>
      <w:r w:rsidR="000C2A4B">
        <w:t xml:space="preserve">. </w:t>
      </w:r>
      <w:r w:rsidR="00D03200">
        <w:t xml:space="preserve">These two fractions </w:t>
      </w:r>
      <w:r w:rsidR="009258E9">
        <w:t xml:space="preserve">are </w:t>
      </w:r>
      <w:r>
        <w:t>predominantly</w:t>
      </w:r>
      <w:r w:rsidR="00D03200">
        <w:t xml:space="preserve"> derive</w:t>
      </w:r>
      <w:r w:rsidR="00990543">
        <w:t>d</w:t>
      </w:r>
      <w:r w:rsidR="00D03200">
        <w:t xml:space="preserve"> from different emission sources. Fine particulate arises from man-made sources while coarse particulate arises from natural sources.</w:t>
      </w:r>
    </w:p>
    <w:p w14:paraId="62FD0347" w14:textId="77777777" w:rsidR="00B130D4" w:rsidRPr="00B130D4" w:rsidRDefault="00B130D4" w:rsidP="00B130D4"/>
    <w:p w14:paraId="2E2ECED9" w14:textId="03432633" w:rsidR="007028F7" w:rsidRDefault="007028F7" w:rsidP="00B130D4">
      <w:r w:rsidRPr="00B130D4">
        <w:t>Coarse particles are most likely to deposit on the surfaces of the larger airways of the upper region of the lung and do not penetrate beyond the upper bronchus. Fine particles penetrate deeper</w:t>
      </w:r>
      <w:r w:rsidR="000C2A4B" w:rsidRPr="00B130D4">
        <w:t xml:space="preserve"> into</w:t>
      </w:r>
      <w:r w:rsidRPr="00B130D4">
        <w:t xml:space="preserve"> the lung</w:t>
      </w:r>
      <w:r w:rsidR="000C2A4B" w:rsidRPr="00B130D4">
        <w:t>s</w:t>
      </w:r>
      <w:r w:rsidRPr="00B130D4">
        <w:t xml:space="preserve"> and deposit on the small airways and alveoli. </w:t>
      </w:r>
      <w:r w:rsidR="00B130D4">
        <w:t xml:space="preserve">The </w:t>
      </w:r>
      <w:r w:rsidRPr="00B130D4">
        <w:t>PM</w:t>
      </w:r>
      <w:r w:rsidRPr="00B130D4">
        <w:rPr>
          <w:vertAlign w:val="subscript"/>
        </w:rPr>
        <w:t xml:space="preserve">2.5 </w:t>
      </w:r>
      <w:r w:rsidRPr="00B130D4">
        <w:t>is associated with the greatest proportion of adverse health effects related to air pollution, with the effects of long-term exposure to PM</w:t>
      </w:r>
      <w:r w:rsidRPr="00B130D4">
        <w:rPr>
          <w:vertAlign w:val="subscript"/>
        </w:rPr>
        <w:t>10</w:t>
      </w:r>
      <w:r w:rsidRPr="00B130D4">
        <w:t xml:space="preserve"> less clear.</w:t>
      </w:r>
    </w:p>
    <w:p w14:paraId="421D19F1" w14:textId="3B42BD95" w:rsidR="00B130D4" w:rsidRDefault="00B130D4" w:rsidP="00B130D4"/>
    <w:p w14:paraId="7D91510A" w14:textId="37724248" w:rsidR="00B55010" w:rsidRPr="00B55010" w:rsidRDefault="00D701D6" w:rsidP="33C63274">
      <w:pPr>
        <w:pStyle w:val="Heading3"/>
      </w:pPr>
      <w:r w:rsidRPr="33C63274">
        <w:lastRenderedPageBreak/>
        <w:t>Military Exposure Guidelines</w:t>
      </w:r>
      <w:r>
        <w:t xml:space="preserve"> </w:t>
      </w:r>
      <w:r w:rsidR="00B55010">
        <w:t>and the Air Quality Index</w:t>
      </w:r>
    </w:p>
    <w:p w14:paraId="4ADEF946" w14:textId="77777777" w:rsidR="00B55010" w:rsidRPr="00B55010" w:rsidRDefault="00B55010" w:rsidP="33C63274"/>
    <w:p w14:paraId="670DCA05" w14:textId="4F974D72" w:rsidR="00B55010" w:rsidRPr="00B55010" w:rsidRDefault="00B55010" w:rsidP="33C63274">
      <w:pPr>
        <w:rPr>
          <w:rFonts w:cs="Arial"/>
        </w:rPr>
      </w:pPr>
      <w:r>
        <w:t xml:space="preserve">To communicate the risks from diminished air quality in the United States, the </w:t>
      </w:r>
      <w:r w:rsidRPr="33C63274">
        <w:rPr>
          <w:rFonts w:cs="Arial"/>
        </w:rPr>
        <w:t>EPA developed the daily Air Quality Index (AQI) to characterize health risks associated with measured airborne hazards. The AQI provides a simple, standard platform to report to the general population the daily air quality conditions and their potential effects based on measurements for PM</w:t>
      </w:r>
      <w:r w:rsidRPr="33C63274">
        <w:rPr>
          <w:rFonts w:cs="Arial"/>
          <w:vertAlign w:val="subscript"/>
        </w:rPr>
        <w:t>2.5</w:t>
      </w:r>
      <w:r w:rsidRPr="33C63274">
        <w:rPr>
          <w:rFonts w:cs="Arial"/>
        </w:rPr>
        <w:t>, PM</w:t>
      </w:r>
      <w:r w:rsidRPr="33C63274">
        <w:rPr>
          <w:rFonts w:cs="Arial"/>
          <w:vertAlign w:val="subscript"/>
        </w:rPr>
        <w:t>10</w:t>
      </w:r>
      <w:r w:rsidRPr="33C63274">
        <w:rPr>
          <w:rFonts w:cs="Arial"/>
        </w:rPr>
        <w:t>, ground-level ozone, sulfur</w:t>
      </w:r>
      <w:r w:rsidRPr="0026466B">
        <w:rPr>
          <w:rFonts w:cs="Arial"/>
        </w:rPr>
        <w:t xml:space="preserve"> </w:t>
      </w:r>
      <w:r w:rsidRPr="33C63274">
        <w:rPr>
          <w:rFonts w:cs="Arial"/>
        </w:rPr>
        <w:t>dioxide, nitrogen dioxide, and carbon monoxide. An index score using the concentration of each measured pollutant is generated and the highest score is used to assign the day’s AQI category, which is reported to the public. For deployed settings, the Military Exposure Guidelines are used similarly to evaluate the health risks to deployed personnel, except these risks are communicated to a commander so that they will understand the risk to both the mission and the long-term health implications for personnel from ambient exposures to these airborne hazards.</w:t>
      </w:r>
    </w:p>
    <w:p w14:paraId="170C089F" w14:textId="77777777" w:rsidR="00B55010" w:rsidRPr="00B55010" w:rsidRDefault="00B55010" w:rsidP="33C63274"/>
    <w:p w14:paraId="43B37754" w14:textId="4969ED16" w:rsidR="00B55010" w:rsidRPr="00B55010" w:rsidRDefault="00B55010" w:rsidP="33C63274">
      <w:pPr>
        <w:rPr>
          <w:rFonts w:cs="Arial"/>
        </w:rPr>
      </w:pPr>
      <w:r w:rsidRPr="33C63274">
        <w:rPr>
          <w:rFonts w:cs="Arial"/>
        </w:rPr>
        <w:t xml:space="preserve">Although the populations are different, the two approaches are fundamentally related in that the PM concentrations used to determine the AQI index scores were also used to derive the MEGs by relating the expected health effects estimated by the EPA to the hazard severity levels described in Figure 2. </w:t>
      </w:r>
      <w:r w:rsidR="00AF0644">
        <w:rPr>
          <w:rFonts w:cs="Arial"/>
        </w:rPr>
        <w:t>Table</w:t>
      </w:r>
      <w:r w:rsidR="00AF0644" w:rsidRPr="33C63274">
        <w:rPr>
          <w:rFonts w:cs="Arial"/>
        </w:rPr>
        <w:t xml:space="preserve"> </w:t>
      </w:r>
      <w:r w:rsidRPr="33C63274">
        <w:rPr>
          <w:rFonts w:cs="Arial"/>
        </w:rPr>
        <w:t>3 shows the relationship between the PM MEGs used to generate the risk estimates (using those severity levels) and the AQI categories.</w:t>
      </w:r>
    </w:p>
    <w:p w14:paraId="56F5BADD" w14:textId="77777777" w:rsidR="00B55010" w:rsidRPr="00B55010" w:rsidRDefault="00B55010" w:rsidP="33C63274">
      <w:pPr>
        <w:jc w:val="center"/>
      </w:pPr>
    </w:p>
    <w:p w14:paraId="470EE5B1" w14:textId="1E6D5AC1" w:rsidR="00B55010" w:rsidRPr="00DF4BAE" w:rsidRDefault="00AF0644" w:rsidP="00D02432">
      <w:pPr>
        <w:rPr>
          <w:rFonts w:cs="Arial"/>
        </w:rPr>
      </w:pPr>
      <w:r>
        <w:t xml:space="preserve">Table </w:t>
      </w:r>
      <w:r w:rsidR="00B55010">
        <w:t>3</w:t>
      </w:r>
      <w:r w:rsidR="00AE5DB1">
        <w:t>.</w:t>
      </w:r>
      <w:r w:rsidR="00B55010">
        <w:t xml:space="preserve"> Relationship of 24-Hour Particulate Matter Exposure Guidelines and their Association to AQI Categories</w:t>
      </w:r>
    </w:p>
    <w:tbl>
      <w:tblPr>
        <w:tblStyle w:val="TableGrid"/>
        <w:tblW w:w="10080" w:type="dxa"/>
        <w:tblLook w:val="04A0" w:firstRow="1" w:lastRow="0" w:firstColumn="1" w:lastColumn="0" w:noHBand="0" w:noVBand="1"/>
      </w:tblPr>
      <w:tblGrid>
        <w:gridCol w:w="2769"/>
        <w:gridCol w:w="2748"/>
        <w:gridCol w:w="1343"/>
        <w:gridCol w:w="1254"/>
        <w:gridCol w:w="1966"/>
      </w:tblGrid>
      <w:tr w:rsidR="00B55010" w:rsidRPr="00861268" w14:paraId="5519142E" w14:textId="77777777" w:rsidTr="007C355F">
        <w:trPr>
          <w:trHeight w:val="1097"/>
          <w:tblHeader/>
        </w:trPr>
        <w:tc>
          <w:tcPr>
            <w:tcW w:w="5575" w:type="dxa"/>
            <w:gridSpan w:val="2"/>
            <w:tcBorders>
              <w:bottom w:val="single" w:sz="4" w:space="0" w:color="auto"/>
            </w:tcBorders>
            <w:shd w:val="clear" w:color="auto" w:fill="BFBFBF" w:themeFill="background1" w:themeFillShade="BF"/>
            <w:vAlign w:val="center"/>
          </w:tcPr>
          <w:p w14:paraId="218E865A" w14:textId="77777777" w:rsidR="00B55010" w:rsidRPr="0080513E" w:rsidRDefault="00B55010" w:rsidP="007C355F">
            <w:pPr>
              <w:jc w:val="center"/>
              <w:rPr>
                <w:rFonts w:cs="Arial"/>
                <w:b/>
                <w:iCs/>
                <w:sz w:val="20"/>
              </w:rPr>
            </w:pPr>
            <w:r w:rsidRPr="0080513E">
              <w:rPr>
                <w:rFonts w:cs="Arial"/>
                <w:b/>
                <w:iCs/>
                <w:sz w:val="20"/>
              </w:rPr>
              <w:t xml:space="preserve">24 Hour Particulate Matter MEG </w:t>
            </w:r>
          </w:p>
          <w:p w14:paraId="73C4F65F" w14:textId="77777777" w:rsidR="00B55010" w:rsidRPr="0080513E" w:rsidRDefault="00B55010" w:rsidP="007C355F">
            <w:pPr>
              <w:jc w:val="center"/>
              <w:rPr>
                <w:rFonts w:cs="Arial"/>
              </w:rPr>
            </w:pPr>
            <w:r w:rsidRPr="0080513E">
              <w:rPr>
                <w:rFonts w:cs="Arial"/>
                <w:b/>
                <w:iCs/>
                <w:sz w:val="20"/>
              </w:rPr>
              <w:t>and HRA Severity Level Definitions</w:t>
            </w:r>
          </w:p>
        </w:tc>
        <w:tc>
          <w:tcPr>
            <w:tcW w:w="4590" w:type="dxa"/>
            <w:gridSpan w:val="3"/>
            <w:tcBorders>
              <w:bottom w:val="single" w:sz="4" w:space="0" w:color="auto"/>
            </w:tcBorders>
            <w:shd w:val="clear" w:color="auto" w:fill="BFBFBF" w:themeFill="background1" w:themeFillShade="BF"/>
            <w:vAlign w:val="center"/>
          </w:tcPr>
          <w:p w14:paraId="662C85E2" w14:textId="31BA02A8" w:rsidR="00B55010" w:rsidRPr="0080513E" w:rsidRDefault="00B55010" w:rsidP="007C355F">
            <w:pPr>
              <w:jc w:val="center"/>
              <w:rPr>
                <w:rFonts w:cs="Arial"/>
                <w:vertAlign w:val="superscript"/>
              </w:rPr>
            </w:pPr>
            <w:r w:rsidRPr="0080513E">
              <w:rPr>
                <w:rFonts w:cs="Arial"/>
                <w:b/>
                <w:iCs/>
                <w:sz w:val="20"/>
              </w:rPr>
              <w:t>EPA AQI Daily (24-hr) Concentration Ranges and Their Health Effects Descriptions.</w:t>
            </w:r>
            <w:r w:rsidRPr="0080513E">
              <w:rPr>
                <w:rFonts w:cs="Arial"/>
                <w:b/>
                <w:iCs/>
                <w:sz w:val="20"/>
                <w:vertAlign w:val="superscript"/>
              </w:rPr>
              <w:t>1</w:t>
            </w:r>
          </w:p>
        </w:tc>
      </w:tr>
      <w:tr w:rsidR="00B55010" w:rsidRPr="00861268" w14:paraId="238C61AB" w14:textId="77777777" w:rsidTr="007C355F">
        <w:trPr>
          <w:trHeight w:val="890"/>
          <w:tblHeader/>
        </w:trPr>
        <w:tc>
          <w:tcPr>
            <w:tcW w:w="2798" w:type="dxa"/>
            <w:tcBorders>
              <w:bottom w:val="single" w:sz="12" w:space="0" w:color="auto"/>
            </w:tcBorders>
            <w:shd w:val="clear" w:color="auto" w:fill="BFBFBF" w:themeFill="background1" w:themeFillShade="BF"/>
            <w:vAlign w:val="center"/>
          </w:tcPr>
          <w:p w14:paraId="3E2803D3" w14:textId="77777777" w:rsidR="00B55010" w:rsidRPr="0080513E" w:rsidRDefault="00B55010" w:rsidP="007C355F">
            <w:pPr>
              <w:jc w:val="center"/>
              <w:rPr>
                <w:rFonts w:cs="Arial"/>
                <w:b/>
                <w:iCs/>
                <w:sz w:val="20"/>
                <w:vertAlign w:val="subscript"/>
              </w:rPr>
            </w:pPr>
            <w:r w:rsidRPr="0080513E">
              <w:rPr>
                <w:rFonts w:cs="Arial"/>
                <w:b/>
                <w:iCs/>
                <w:sz w:val="20"/>
              </w:rPr>
              <w:t>PM</w:t>
            </w:r>
            <w:r w:rsidRPr="0080513E">
              <w:rPr>
                <w:rFonts w:cs="Arial"/>
                <w:b/>
                <w:iCs/>
                <w:sz w:val="20"/>
                <w:vertAlign w:val="subscript"/>
              </w:rPr>
              <w:t xml:space="preserve">2.5 </w:t>
            </w:r>
          </w:p>
          <w:p w14:paraId="20278AB3" w14:textId="77777777" w:rsidR="00B55010" w:rsidRPr="0080513E" w:rsidRDefault="00B55010" w:rsidP="007C355F">
            <w:pPr>
              <w:jc w:val="center"/>
              <w:rPr>
                <w:rFonts w:cs="Arial"/>
                <w:b/>
              </w:rPr>
            </w:pPr>
            <w:r w:rsidRPr="0080513E">
              <w:rPr>
                <w:rFonts w:cs="Arial"/>
                <w:b/>
                <w:iCs/>
                <w:sz w:val="20"/>
              </w:rPr>
              <w:t>(µg/m</w:t>
            </w:r>
            <w:r w:rsidRPr="0080513E">
              <w:rPr>
                <w:rFonts w:cs="Arial"/>
                <w:b/>
                <w:iCs/>
                <w:sz w:val="20"/>
                <w:vertAlign w:val="superscript"/>
              </w:rPr>
              <w:t>3</w:t>
            </w:r>
            <w:r w:rsidRPr="0080513E">
              <w:rPr>
                <w:rFonts w:cs="Arial"/>
                <w:b/>
                <w:iCs/>
                <w:sz w:val="20"/>
              </w:rPr>
              <w:t>)</w:t>
            </w:r>
          </w:p>
        </w:tc>
        <w:tc>
          <w:tcPr>
            <w:tcW w:w="2777" w:type="dxa"/>
            <w:tcBorders>
              <w:bottom w:val="single" w:sz="12" w:space="0" w:color="auto"/>
            </w:tcBorders>
            <w:shd w:val="clear" w:color="auto" w:fill="BFBFBF" w:themeFill="background1" w:themeFillShade="BF"/>
            <w:vAlign w:val="center"/>
          </w:tcPr>
          <w:p w14:paraId="2800AEB9" w14:textId="77777777" w:rsidR="00B55010" w:rsidRPr="0080513E" w:rsidRDefault="00B55010" w:rsidP="007C355F">
            <w:pPr>
              <w:jc w:val="center"/>
              <w:rPr>
                <w:rFonts w:cs="Arial"/>
                <w:b/>
                <w:iCs/>
                <w:sz w:val="20"/>
                <w:vertAlign w:val="subscript"/>
              </w:rPr>
            </w:pPr>
            <w:r w:rsidRPr="0080513E">
              <w:rPr>
                <w:rFonts w:cs="Arial"/>
                <w:b/>
                <w:iCs/>
                <w:sz w:val="20"/>
              </w:rPr>
              <w:t>PM</w:t>
            </w:r>
            <w:r w:rsidRPr="0080513E">
              <w:rPr>
                <w:rFonts w:cs="Arial"/>
                <w:b/>
                <w:iCs/>
                <w:sz w:val="20"/>
                <w:vertAlign w:val="subscript"/>
              </w:rPr>
              <w:t xml:space="preserve">10 </w:t>
            </w:r>
          </w:p>
          <w:p w14:paraId="3D3BC3CD" w14:textId="77777777" w:rsidR="00B55010" w:rsidRPr="0080513E" w:rsidRDefault="00B55010" w:rsidP="007C355F">
            <w:pPr>
              <w:jc w:val="center"/>
              <w:rPr>
                <w:rFonts w:cs="Arial"/>
                <w:b/>
              </w:rPr>
            </w:pPr>
            <w:r w:rsidRPr="0080513E">
              <w:rPr>
                <w:rFonts w:cs="Arial"/>
                <w:b/>
                <w:iCs/>
                <w:sz w:val="20"/>
              </w:rPr>
              <w:t>(µg/m</w:t>
            </w:r>
            <w:r w:rsidRPr="0080513E">
              <w:rPr>
                <w:rFonts w:cs="Arial"/>
                <w:b/>
                <w:iCs/>
                <w:sz w:val="20"/>
                <w:vertAlign w:val="superscript"/>
              </w:rPr>
              <w:t>3</w:t>
            </w:r>
            <w:r w:rsidRPr="0080513E">
              <w:rPr>
                <w:rFonts w:cs="Arial"/>
                <w:b/>
                <w:iCs/>
                <w:sz w:val="20"/>
              </w:rPr>
              <w:t>)</w:t>
            </w:r>
          </w:p>
        </w:tc>
        <w:tc>
          <w:tcPr>
            <w:tcW w:w="1350" w:type="dxa"/>
            <w:tcBorders>
              <w:bottom w:val="single" w:sz="12" w:space="0" w:color="auto"/>
            </w:tcBorders>
            <w:shd w:val="clear" w:color="auto" w:fill="BFBFBF" w:themeFill="background1" w:themeFillShade="BF"/>
            <w:vAlign w:val="center"/>
          </w:tcPr>
          <w:p w14:paraId="38D36C16" w14:textId="77777777" w:rsidR="00B55010" w:rsidRPr="0080513E" w:rsidRDefault="00B55010" w:rsidP="007C355F">
            <w:pPr>
              <w:jc w:val="center"/>
              <w:rPr>
                <w:rFonts w:cs="Arial"/>
                <w:b/>
              </w:rPr>
            </w:pPr>
            <w:r w:rsidRPr="0080513E">
              <w:rPr>
                <w:rFonts w:cs="Arial"/>
                <w:b/>
                <w:iCs/>
                <w:sz w:val="20"/>
              </w:rPr>
              <w:t>PM</w:t>
            </w:r>
            <w:r w:rsidRPr="0080513E">
              <w:rPr>
                <w:rFonts w:cs="Arial"/>
                <w:b/>
                <w:iCs/>
                <w:sz w:val="20"/>
                <w:vertAlign w:val="subscript"/>
              </w:rPr>
              <w:t xml:space="preserve">2.5 </w:t>
            </w:r>
            <w:r w:rsidRPr="0080513E">
              <w:rPr>
                <w:rFonts w:cs="Arial"/>
                <w:b/>
                <w:iCs/>
                <w:sz w:val="20"/>
              </w:rPr>
              <w:t>(µg/m</w:t>
            </w:r>
            <w:r w:rsidRPr="0080513E">
              <w:rPr>
                <w:rFonts w:cs="Arial"/>
                <w:b/>
                <w:iCs/>
                <w:sz w:val="20"/>
                <w:vertAlign w:val="superscript"/>
              </w:rPr>
              <w:t>3</w:t>
            </w:r>
            <w:r w:rsidRPr="0080513E">
              <w:rPr>
                <w:rFonts w:cs="Arial"/>
                <w:b/>
                <w:iCs/>
                <w:sz w:val="20"/>
              </w:rPr>
              <w:t>)</w:t>
            </w:r>
          </w:p>
        </w:tc>
        <w:tc>
          <w:tcPr>
            <w:tcW w:w="1260" w:type="dxa"/>
            <w:tcBorders>
              <w:bottom w:val="single" w:sz="12" w:space="0" w:color="auto"/>
            </w:tcBorders>
            <w:shd w:val="clear" w:color="auto" w:fill="BFBFBF" w:themeFill="background1" w:themeFillShade="BF"/>
            <w:vAlign w:val="center"/>
          </w:tcPr>
          <w:p w14:paraId="21E64EF4" w14:textId="77777777" w:rsidR="00B55010" w:rsidRPr="0080513E" w:rsidRDefault="00B55010" w:rsidP="007C355F">
            <w:pPr>
              <w:jc w:val="center"/>
              <w:rPr>
                <w:rFonts w:cs="Arial"/>
                <w:b/>
              </w:rPr>
            </w:pPr>
            <w:r w:rsidRPr="0080513E">
              <w:rPr>
                <w:rFonts w:cs="Arial"/>
                <w:b/>
                <w:iCs/>
                <w:sz w:val="20"/>
              </w:rPr>
              <w:t>PM</w:t>
            </w:r>
            <w:r w:rsidRPr="0080513E">
              <w:rPr>
                <w:rFonts w:cs="Arial"/>
                <w:b/>
                <w:iCs/>
                <w:sz w:val="20"/>
                <w:vertAlign w:val="subscript"/>
              </w:rPr>
              <w:t xml:space="preserve">10 </w:t>
            </w:r>
            <w:r w:rsidRPr="0080513E">
              <w:rPr>
                <w:rFonts w:cs="Arial"/>
                <w:b/>
                <w:iCs/>
                <w:sz w:val="20"/>
              </w:rPr>
              <w:t>(µg/m</w:t>
            </w:r>
            <w:r w:rsidRPr="0080513E">
              <w:rPr>
                <w:rFonts w:cs="Arial"/>
                <w:b/>
                <w:iCs/>
                <w:sz w:val="20"/>
                <w:vertAlign w:val="superscript"/>
              </w:rPr>
              <w:t>3</w:t>
            </w:r>
            <w:r w:rsidRPr="0080513E">
              <w:rPr>
                <w:rFonts w:cs="Arial"/>
                <w:b/>
                <w:iCs/>
                <w:sz w:val="20"/>
              </w:rPr>
              <w:t>)</w:t>
            </w:r>
          </w:p>
        </w:tc>
        <w:tc>
          <w:tcPr>
            <w:tcW w:w="1980" w:type="dxa"/>
            <w:tcBorders>
              <w:bottom w:val="single" w:sz="12" w:space="0" w:color="auto"/>
            </w:tcBorders>
            <w:shd w:val="clear" w:color="auto" w:fill="BFBFBF" w:themeFill="background1" w:themeFillShade="BF"/>
            <w:vAlign w:val="center"/>
          </w:tcPr>
          <w:p w14:paraId="1B6F9AA5" w14:textId="77777777" w:rsidR="00B55010" w:rsidRPr="0080513E" w:rsidRDefault="00B55010" w:rsidP="007C355F">
            <w:pPr>
              <w:rPr>
                <w:rFonts w:cs="Arial"/>
                <w:b/>
              </w:rPr>
            </w:pPr>
            <w:r w:rsidRPr="0080513E">
              <w:rPr>
                <w:rFonts w:cs="Arial"/>
                <w:b/>
                <w:iCs/>
                <w:sz w:val="20"/>
              </w:rPr>
              <w:t xml:space="preserve">AQI Category </w:t>
            </w:r>
          </w:p>
        </w:tc>
      </w:tr>
      <w:tr w:rsidR="00B55010" w:rsidRPr="00862920" w14:paraId="5E18B641" w14:textId="77777777" w:rsidTr="007C355F">
        <w:trPr>
          <w:trHeight w:val="564"/>
        </w:trPr>
        <w:tc>
          <w:tcPr>
            <w:tcW w:w="5575" w:type="dxa"/>
            <w:gridSpan w:val="2"/>
            <w:vMerge w:val="restart"/>
            <w:tcBorders>
              <w:top w:val="single" w:sz="12" w:space="0" w:color="auto"/>
            </w:tcBorders>
            <w:shd w:val="clear" w:color="auto" w:fill="auto"/>
            <w:vAlign w:val="center"/>
          </w:tcPr>
          <w:p w14:paraId="5B8B99A9" w14:textId="77777777" w:rsidR="00B55010" w:rsidRPr="0080513E" w:rsidRDefault="00B55010" w:rsidP="007C355F">
            <w:pPr>
              <w:jc w:val="center"/>
              <w:rPr>
                <w:rFonts w:cs="Arial"/>
              </w:rPr>
            </w:pPr>
            <w:r w:rsidRPr="0080513E">
              <w:rPr>
                <w:rFonts w:cs="Arial"/>
                <w:iCs/>
                <w:sz w:val="18"/>
                <w:szCs w:val="18"/>
              </w:rPr>
              <w:t>Concentrations in this range are not considered to represent an “acute hazard” within the TG 230 risk assessment framework</w:t>
            </w:r>
          </w:p>
        </w:tc>
        <w:tc>
          <w:tcPr>
            <w:tcW w:w="1350" w:type="dxa"/>
            <w:tcBorders>
              <w:top w:val="single" w:sz="12" w:space="0" w:color="auto"/>
            </w:tcBorders>
            <w:vAlign w:val="center"/>
          </w:tcPr>
          <w:p w14:paraId="1592DF9C" w14:textId="77777777" w:rsidR="00B55010" w:rsidRPr="0080513E" w:rsidRDefault="00B55010" w:rsidP="007C355F">
            <w:pPr>
              <w:jc w:val="center"/>
              <w:rPr>
                <w:rFonts w:cs="Arial"/>
              </w:rPr>
            </w:pPr>
            <w:r w:rsidRPr="0080513E">
              <w:rPr>
                <w:rFonts w:cs="Arial"/>
                <w:iCs/>
                <w:sz w:val="18"/>
                <w:szCs w:val="18"/>
              </w:rPr>
              <w:t>0 - 12</w:t>
            </w:r>
          </w:p>
        </w:tc>
        <w:tc>
          <w:tcPr>
            <w:tcW w:w="1260" w:type="dxa"/>
            <w:tcBorders>
              <w:top w:val="single" w:sz="12" w:space="0" w:color="auto"/>
            </w:tcBorders>
            <w:vAlign w:val="center"/>
          </w:tcPr>
          <w:p w14:paraId="3E9916C6" w14:textId="77777777" w:rsidR="00B55010" w:rsidRPr="0080513E" w:rsidRDefault="00B55010" w:rsidP="007C355F">
            <w:pPr>
              <w:jc w:val="center"/>
              <w:rPr>
                <w:rFonts w:cs="Arial"/>
              </w:rPr>
            </w:pPr>
            <w:r w:rsidRPr="0080513E">
              <w:rPr>
                <w:rFonts w:cs="Arial"/>
                <w:iCs/>
                <w:sz w:val="18"/>
                <w:szCs w:val="18"/>
              </w:rPr>
              <w:t>0 - 54</w:t>
            </w:r>
          </w:p>
        </w:tc>
        <w:tc>
          <w:tcPr>
            <w:tcW w:w="1980" w:type="dxa"/>
            <w:tcBorders>
              <w:top w:val="single" w:sz="12" w:space="0" w:color="auto"/>
            </w:tcBorders>
            <w:shd w:val="clear" w:color="auto" w:fill="auto"/>
            <w:vAlign w:val="center"/>
          </w:tcPr>
          <w:p w14:paraId="120B7F20" w14:textId="77777777" w:rsidR="00B55010" w:rsidRPr="00862920" w:rsidRDefault="00B55010" w:rsidP="007C355F">
            <w:pPr>
              <w:rPr>
                <w:rFonts w:cs="Arial"/>
              </w:rPr>
            </w:pPr>
            <w:r w:rsidRPr="00862920">
              <w:rPr>
                <w:rFonts w:cs="Arial"/>
                <w:b/>
                <w:bCs/>
                <w:iCs/>
                <w:sz w:val="18"/>
                <w:szCs w:val="18"/>
                <w:u w:val="single"/>
              </w:rPr>
              <w:t>Good</w:t>
            </w:r>
          </w:p>
        </w:tc>
      </w:tr>
      <w:tr w:rsidR="00B55010" w:rsidRPr="00862920" w14:paraId="48E240B0" w14:textId="77777777" w:rsidTr="007C355F">
        <w:trPr>
          <w:trHeight w:val="564"/>
        </w:trPr>
        <w:tc>
          <w:tcPr>
            <w:tcW w:w="5575" w:type="dxa"/>
            <w:gridSpan w:val="2"/>
            <w:vMerge/>
            <w:shd w:val="clear" w:color="auto" w:fill="auto"/>
          </w:tcPr>
          <w:p w14:paraId="7514CE53" w14:textId="77777777" w:rsidR="00B55010" w:rsidRPr="0080513E" w:rsidRDefault="00B55010" w:rsidP="007C355F">
            <w:pPr>
              <w:rPr>
                <w:rFonts w:cs="Arial"/>
              </w:rPr>
            </w:pPr>
          </w:p>
        </w:tc>
        <w:tc>
          <w:tcPr>
            <w:tcW w:w="1350" w:type="dxa"/>
            <w:vAlign w:val="center"/>
          </w:tcPr>
          <w:p w14:paraId="3A3C49E1" w14:textId="77777777" w:rsidR="00B55010" w:rsidRPr="0080513E" w:rsidRDefault="00B55010" w:rsidP="007C355F">
            <w:pPr>
              <w:jc w:val="center"/>
              <w:rPr>
                <w:rFonts w:cs="Arial"/>
              </w:rPr>
            </w:pPr>
            <w:r w:rsidRPr="0080513E">
              <w:rPr>
                <w:rFonts w:cs="Arial"/>
                <w:iCs/>
                <w:sz w:val="18"/>
                <w:szCs w:val="18"/>
              </w:rPr>
              <w:t>12.1 - 35.4</w:t>
            </w:r>
          </w:p>
        </w:tc>
        <w:tc>
          <w:tcPr>
            <w:tcW w:w="1260" w:type="dxa"/>
            <w:vAlign w:val="center"/>
          </w:tcPr>
          <w:p w14:paraId="35EAFCCE" w14:textId="77777777" w:rsidR="00B55010" w:rsidRPr="0080513E" w:rsidRDefault="00B55010" w:rsidP="007C355F">
            <w:pPr>
              <w:jc w:val="center"/>
              <w:rPr>
                <w:rFonts w:cs="Arial"/>
              </w:rPr>
            </w:pPr>
            <w:r w:rsidRPr="0080513E">
              <w:rPr>
                <w:rFonts w:cs="Arial"/>
                <w:iCs/>
                <w:sz w:val="18"/>
                <w:szCs w:val="18"/>
              </w:rPr>
              <w:t>55 - 154</w:t>
            </w:r>
          </w:p>
        </w:tc>
        <w:tc>
          <w:tcPr>
            <w:tcW w:w="1980" w:type="dxa"/>
            <w:shd w:val="clear" w:color="auto" w:fill="auto"/>
            <w:vAlign w:val="center"/>
          </w:tcPr>
          <w:p w14:paraId="12F129EE" w14:textId="77777777" w:rsidR="00B55010" w:rsidRPr="00862920" w:rsidRDefault="00B55010" w:rsidP="007C355F">
            <w:pPr>
              <w:rPr>
                <w:rFonts w:cs="Arial"/>
              </w:rPr>
            </w:pPr>
            <w:r w:rsidRPr="00862920">
              <w:rPr>
                <w:rFonts w:cs="Arial"/>
                <w:b/>
                <w:bCs/>
                <w:iCs/>
                <w:sz w:val="18"/>
                <w:szCs w:val="18"/>
                <w:u w:val="single"/>
              </w:rPr>
              <w:t>Moderate</w:t>
            </w:r>
            <w:r w:rsidRPr="00862920">
              <w:rPr>
                <w:rFonts w:cs="Arial"/>
                <w:iCs/>
                <w:sz w:val="18"/>
                <w:szCs w:val="18"/>
              </w:rPr>
              <w:t xml:space="preserve"> </w:t>
            </w:r>
          </w:p>
        </w:tc>
      </w:tr>
      <w:tr w:rsidR="00B55010" w:rsidRPr="00862920" w14:paraId="732055FF" w14:textId="77777777" w:rsidTr="007C355F">
        <w:trPr>
          <w:trHeight w:val="890"/>
        </w:trPr>
        <w:tc>
          <w:tcPr>
            <w:tcW w:w="5575" w:type="dxa"/>
            <w:gridSpan w:val="2"/>
            <w:vMerge/>
            <w:tcBorders>
              <w:bottom w:val="single" w:sz="12" w:space="0" w:color="auto"/>
            </w:tcBorders>
            <w:shd w:val="clear" w:color="auto" w:fill="auto"/>
          </w:tcPr>
          <w:p w14:paraId="2AD886BE" w14:textId="77777777" w:rsidR="00B55010" w:rsidRPr="0080513E" w:rsidRDefault="00B55010" w:rsidP="007C355F">
            <w:pPr>
              <w:rPr>
                <w:rFonts w:cs="Arial"/>
              </w:rPr>
            </w:pPr>
          </w:p>
        </w:tc>
        <w:tc>
          <w:tcPr>
            <w:tcW w:w="1350" w:type="dxa"/>
            <w:tcBorders>
              <w:bottom w:val="single" w:sz="12" w:space="0" w:color="auto"/>
            </w:tcBorders>
            <w:vAlign w:val="center"/>
          </w:tcPr>
          <w:p w14:paraId="4FB5E297" w14:textId="77777777" w:rsidR="00B55010" w:rsidRPr="0080513E" w:rsidRDefault="00B55010" w:rsidP="007C355F">
            <w:pPr>
              <w:jc w:val="center"/>
              <w:rPr>
                <w:rFonts w:cs="Arial"/>
              </w:rPr>
            </w:pPr>
            <w:r w:rsidRPr="0080513E">
              <w:rPr>
                <w:rFonts w:cs="Arial"/>
                <w:iCs/>
                <w:sz w:val="18"/>
                <w:szCs w:val="18"/>
              </w:rPr>
              <w:t>35.5 - 55.4</w:t>
            </w:r>
          </w:p>
        </w:tc>
        <w:tc>
          <w:tcPr>
            <w:tcW w:w="1260" w:type="dxa"/>
            <w:tcBorders>
              <w:bottom w:val="single" w:sz="12" w:space="0" w:color="auto"/>
            </w:tcBorders>
            <w:vAlign w:val="center"/>
          </w:tcPr>
          <w:p w14:paraId="0FC2A435" w14:textId="77777777" w:rsidR="00B55010" w:rsidRPr="0080513E" w:rsidRDefault="00B55010" w:rsidP="007C355F">
            <w:pPr>
              <w:jc w:val="center"/>
              <w:rPr>
                <w:rFonts w:cs="Arial"/>
              </w:rPr>
            </w:pPr>
            <w:r w:rsidRPr="0080513E">
              <w:rPr>
                <w:rFonts w:cs="Arial"/>
                <w:iCs/>
                <w:sz w:val="18"/>
                <w:szCs w:val="18"/>
              </w:rPr>
              <w:t>155 - 254</w:t>
            </w:r>
          </w:p>
        </w:tc>
        <w:tc>
          <w:tcPr>
            <w:tcW w:w="1980" w:type="dxa"/>
            <w:tcBorders>
              <w:bottom w:val="single" w:sz="12" w:space="0" w:color="auto"/>
            </w:tcBorders>
            <w:shd w:val="clear" w:color="auto" w:fill="auto"/>
            <w:vAlign w:val="center"/>
          </w:tcPr>
          <w:p w14:paraId="39224791" w14:textId="77777777" w:rsidR="00B55010" w:rsidRPr="00862920" w:rsidRDefault="00B55010" w:rsidP="007C355F">
            <w:pPr>
              <w:rPr>
                <w:rFonts w:cs="Arial"/>
              </w:rPr>
            </w:pPr>
            <w:r w:rsidRPr="00862920">
              <w:rPr>
                <w:rFonts w:cs="Arial"/>
                <w:b/>
                <w:bCs/>
                <w:iCs/>
                <w:sz w:val="18"/>
                <w:szCs w:val="18"/>
                <w:u w:val="single"/>
              </w:rPr>
              <w:t>Unhealthy for Sensitive Groups</w:t>
            </w:r>
            <w:r w:rsidRPr="00862920">
              <w:rPr>
                <w:rFonts w:cs="Arial"/>
                <w:iCs/>
                <w:sz w:val="18"/>
                <w:szCs w:val="18"/>
              </w:rPr>
              <w:t xml:space="preserve"> </w:t>
            </w:r>
          </w:p>
        </w:tc>
      </w:tr>
      <w:tr w:rsidR="00B55010" w:rsidRPr="00862920" w14:paraId="3BE0F66C" w14:textId="77777777" w:rsidTr="007C355F">
        <w:trPr>
          <w:trHeight w:val="870"/>
        </w:trPr>
        <w:tc>
          <w:tcPr>
            <w:tcW w:w="2798" w:type="dxa"/>
            <w:tcBorders>
              <w:top w:val="single" w:sz="12" w:space="0" w:color="auto"/>
              <w:bottom w:val="single" w:sz="4" w:space="0" w:color="auto"/>
            </w:tcBorders>
            <w:shd w:val="clear" w:color="auto" w:fill="auto"/>
            <w:vAlign w:val="center"/>
          </w:tcPr>
          <w:p w14:paraId="3A900D0D" w14:textId="77777777" w:rsidR="00B55010" w:rsidRPr="0080513E" w:rsidRDefault="00B55010" w:rsidP="007C355F">
            <w:pPr>
              <w:jc w:val="center"/>
              <w:rPr>
                <w:rFonts w:cs="Arial"/>
                <w:sz w:val="18"/>
                <w:szCs w:val="18"/>
              </w:rPr>
            </w:pPr>
            <w:r w:rsidRPr="0080513E">
              <w:rPr>
                <w:rFonts w:cs="Arial"/>
                <w:sz w:val="18"/>
                <w:szCs w:val="18"/>
              </w:rPr>
              <w:t>Negligible</w:t>
            </w:r>
          </w:p>
          <w:p w14:paraId="4351777A" w14:textId="77777777" w:rsidR="00B55010" w:rsidRPr="0080513E" w:rsidRDefault="00B55010" w:rsidP="007C355F">
            <w:pPr>
              <w:jc w:val="center"/>
              <w:rPr>
                <w:rFonts w:cs="Arial"/>
                <w:sz w:val="18"/>
                <w:szCs w:val="18"/>
              </w:rPr>
            </w:pPr>
            <w:r w:rsidRPr="0080513E">
              <w:rPr>
                <w:rFonts w:cs="Arial"/>
                <w:sz w:val="18"/>
                <w:szCs w:val="18"/>
              </w:rPr>
              <w:t xml:space="preserve">65 </w:t>
            </w:r>
            <w:r>
              <w:rPr>
                <w:rFonts w:cs="Arial"/>
                <w:sz w:val="18"/>
                <w:szCs w:val="18"/>
              </w:rPr>
              <w:t>- 250</w:t>
            </w:r>
          </w:p>
        </w:tc>
        <w:tc>
          <w:tcPr>
            <w:tcW w:w="2777" w:type="dxa"/>
            <w:tcBorders>
              <w:top w:val="single" w:sz="12" w:space="0" w:color="auto"/>
              <w:bottom w:val="single" w:sz="4" w:space="0" w:color="auto"/>
            </w:tcBorders>
            <w:shd w:val="clear" w:color="auto" w:fill="auto"/>
            <w:vAlign w:val="center"/>
          </w:tcPr>
          <w:p w14:paraId="27614F4D" w14:textId="77777777" w:rsidR="00B55010" w:rsidRPr="0080513E" w:rsidRDefault="00B55010" w:rsidP="007C355F">
            <w:pPr>
              <w:jc w:val="center"/>
              <w:rPr>
                <w:rFonts w:cs="Arial"/>
                <w:sz w:val="18"/>
                <w:szCs w:val="18"/>
              </w:rPr>
            </w:pPr>
            <w:r w:rsidRPr="0080513E">
              <w:rPr>
                <w:rFonts w:cs="Arial"/>
                <w:sz w:val="18"/>
                <w:szCs w:val="18"/>
              </w:rPr>
              <w:t>Negligible</w:t>
            </w:r>
          </w:p>
          <w:p w14:paraId="5B2BF77E" w14:textId="77777777" w:rsidR="00B55010" w:rsidRPr="0080513E" w:rsidRDefault="00B55010" w:rsidP="007C355F">
            <w:pPr>
              <w:jc w:val="center"/>
              <w:rPr>
                <w:rFonts w:cs="Arial"/>
                <w:sz w:val="20"/>
                <w:szCs w:val="20"/>
              </w:rPr>
            </w:pPr>
            <w:r w:rsidRPr="0080513E">
              <w:rPr>
                <w:rFonts w:cs="Arial"/>
                <w:sz w:val="18"/>
                <w:szCs w:val="18"/>
              </w:rPr>
              <w:t xml:space="preserve">250 </w:t>
            </w:r>
            <w:r>
              <w:rPr>
                <w:rFonts w:cs="Arial"/>
                <w:sz w:val="18"/>
                <w:szCs w:val="18"/>
              </w:rPr>
              <w:t>- 420</w:t>
            </w:r>
          </w:p>
        </w:tc>
        <w:tc>
          <w:tcPr>
            <w:tcW w:w="1350" w:type="dxa"/>
            <w:tcBorders>
              <w:top w:val="single" w:sz="12" w:space="0" w:color="auto"/>
              <w:bottom w:val="single" w:sz="4" w:space="0" w:color="auto"/>
            </w:tcBorders>
            <w:vAlign w:val="center"/>
          </w:tcPr>
          <w:p w14:paraId="40C2714B" w14:textId="77777777" w:rsidR="00B55010" w:rsidRPr="0080513E" w:rsidRDefault="00B55010" w:rsidP="007C355F">
            <w:pPr>
              <w:jc w:val="center"/>
              <w:rPr>
                <w:rFonts w:cs="Arial"/>
              </w:rPr>
            </w:pPr>
            <w:r w:rsidRPr="0080513E">
              <w:rPr>
                <w:rFonts w:cs="Arial"/>
                <w:iCs/>
                <w:sz w:val="18"/>
                <w:szCs w:val="18"/>
              </w:rPr>
              <w:t>55.5 - 150.4</w:t>
            </w:r>
          </w:p>
        </w:tc>
        <w:tc>
          <w:tcPr>
            <w:tcW w:w="1260" w:type="dxa"/>
            <w:tcBorders>
              <w:top w:val="single" w:sz="12" w:space="0" w:color="auto"/>
              <w:bottom w:val="single" w:sz="4" w:space="0" w:color="auto"/>
            </w:tcBorders>
            <w:vAlign w:val="center"/>
          </w:tcPr>
          <w:p w14:paraId="7E811FE3" w14:textId="77777777" w:rsidR="00B55010" w:rsidRPr="0080513E" w:rsidRDefault="00B55010" w:rsidP="007C355F">
            <w:pPr>
              <w:jc w:val="center"/>
              <w:rPr>
                <w:rFonts w:cs="Arial"/>
              </w:rPr>
            </w:pPr>
            <w:r w:rsidRPr="0080513E">
              <w:rPr>
                <w:rFonts w:cs="Arial"/>
                <w:iCs/>
                <w:sz w:val="18"/>
                <w:szCs w:val="18"/>
              </w:rPr>
              <w:t>255 - 354</w:t>
            </w:r>
          </w:p>
        </w:tc>
        <w:tc>
          <w:tcPr>
            <w:tcW w:w="1980" w:type="dxa"/>
            <w:tcBorders>
              <w:top w:val="single" w:sz="12" w:space="0" w:color="auto"/>
              <w:bottom w:val="single" w:sz="4" w:space="0" w:color="auto"/>
            </w:tcBorders>
            <w:shd w:val="clear" w:color="auto" w:fill="auto"/>
            <w:vAlign w:val="center"/>
          </w:tcPr>
          <w:p w14:paraId="3AB138E8" w14:textId="77777777" w:rsidR="00B55010" w:rsidRPr="00862920" w:rsidRDefault="00B55010" w:rsidP="007C355F">
            <w:pPr>
              <w:rPr>
                <w:rFonts w:cs="Arial"/>
              </w:rPr>
            </w:pPr>
            <w:r w:rsidRPr="00862920">
              <w:rPr>
                <w:rFonts w:cs="Arial"/>
                <w:b/>
                <w:bCs/>
                <w:iCs/>
                <w:sz w:val="18"/>
                <w:szCs w:val="18"/>
                <w:u w:val="single"/>
              </w:rPr>
              <w:t>Unhealthy</w:t>
            </w:r>
          </w:p>
        </w:tc>
      </w:tr>
      <w:tr w:rsidR="00B55010" w:rsidRPr="00862920" w14:paraId="4B099F54" w14:textId="77777777" w:rsidTr="007C355F">
        <w:trPr>
          <w:trHeight w:val="1070"/>
        </w:trPr>
        <w:tc>
          <w:tcPr>
            <w:tcW w:w="5575" w:type="dxa"/>
            <w:gridSpan w:val="2"/>
            <w:tcBorders>
              <w:top w:val="single" w:sz="4" w:space="0" w:color="auto"/>
              <w:bottom w:val="single" w:sz="12" w:space="0" w:color="auto"/>
            </w:tcBorders>
            <w:shd w:val="clear" w:color="auto" w:fill="auto"/>
            <w:vAlign w:val="center"/>
          </w:tcPr>
          <w:p w14:paraId="405A546B" w14:textId="77777777" w:rsidR="00B55010" w:rsidRPr="0080513E" w:rsidRDefault="00B55010" w:rsidP="007C355F">
            <w:pPr>
              <w:rPr>
                <w:rFonts w:cs="Arial"/>
                <w:sz w:val="18"/>
                <w:szCs w:val="18"/>
              </w:rPr>
            </w:pPr>
            <w:r w:rsidRPr="0080513E">
              <w:rPr>
                <w:rFonts w:cs="Arial"/>
                <w:sz w:val="18"/>
                <w:szCs w:val="18"/>
              </w:rPr>
              <w:t>A few personnel may experience notable mild eye, nose, or throat irritation; most personnel will experience only mild effects. Pre-existing health conditions (e.g., asthma, or cardiopulmonary diseases) may be exacerbated.</w:t>
            </w:r>
          </w:p>
        </w:tc>
        <w:tc>
          <w:tcPr>
            <w:tcW w:w="1350" w:type="dxa"/>
            <w:tcBorders>
              <w:bottom w:val="single" w:sz="12" w:space="0" w:color="auto"/>
            </w:tcBorders>
            <w:vAlign w:val="center"/>
          </w:tcPr>
          <w:p w14:paraId="646555C6" w14:textId="77777777" w:rsidR="00B55010" w:rsidRPr="0080513E" w:rsidRDefault="00B55010" w:rsidP="007C355F">
            <w:pPr>
              <w:jc w:val="center"/>
              <w:rPr>
                <w:rFonts w:cs="Arial"/>
              </w:rPr>
            </w:pPr>
            <w:r w:rsidRPr="0080513E">
              <w:rPr>
                <w:rFonts w:cs="Arial"/>
                <w:iCs/>
                <w:sz w:val="18"/>
                <w:szCs w:val="18"/>
              </w:rPr>
              <w:t>150.5 - 250.4</w:t>
            </w:r>
          </w:p>
        </w:tc>
        <w:tc>
          <w:tcPr>
            <w:tcW w:w="1260" w:type="dxa"/>
            <w:tcBorders>
              <w:bottom w:val="single" w:sz="12" w:space="0" w:color="auto"/>
            </w:tcBorders>
            <w:vAlign w:val="center"/>
          </w:tcPr>
          <w:p w14:paraId="1E988305" w14:textId="77777777" w:rsidR="00B55010" w:rsidRPr="0080513E" w:rsidRDefault="00B55010" w:rsidP="007C355F">
            <w:pPr>
              <w:jc w:val="center"/>
              <w:rPr>
                <w:rFonts w:cs="Arial"/>
              </w:rPr>
            </w:pPr>
            <w:r w:rsidRPr="0080513E">
              <w:rPr>
                <w:rFonts w:cs="Arial"/>
                <w:iCs/>
                <w:sz w:val="18"/>
                <w:szCs w:val="18"/>
              </w:rPr>
              <w:t>355 - 424</w:t>
            </w:r>
          </w:p>
        </w:tc>
        <w:tc>
          <w:tcPr>
            <w:tcW w:w="1980" w:type="dxa"/>
            <w:tcBorders>
              <w:bottom w:val="single" w:sz="12" w:space="0" w:color="auto"/>
            </w:tcBorders>
            <w:shd w:val="clear" w:color="auto" w:fill="auto"/>
            <w:vAlign w:val="center"/>
          </w:tcPr>
          <w:p w14:paraId="5BE7147B" w14:textId="77777777" w:rsidR="00B55010" w:rsidRPr="00862920" w:rsidRDefault="00B55010" w:rsidP="007C355F">
            <w:pPr>
              <w:rPr>
                <w:rFonts w:cs="Arial"/>
              </w:rPr>
            </w:pPr>
            <w:r w:rsidRPr="00862920">
              <w:rPr>
                <w:rFonts w:cs="Arial"/>
                <w:b/>
                <w:bCs/>
                <w:iCs/>
                <w:sz w:val="18"/>
                <w:szCs w:val="18"/>
                <w:u w:val="single"/>
              </w:rPr>
              <w:t>Very Unhealthy</w:t>
            </w:r>
            <w:r w:rsidRPr="00862920">
              <w:rPr>
                <w:rFonts w:cs="Arial"/>
                <w:iCs/>
                <w:sz w:val="18"/>
                <w:szCs w:val="18"/>
              </w:rPr>
              <w:t xml:space="preserve"> </w:t>
            </w:r>
          </w:p>
        </w:tc>
      </w:tr>
      <w:tr w:rsidR="00B55010" w:rsidRPr="00862920" w14:paraId="254883F4" w14:textId="77777777" w:rsidTr="007C355F">
        <w:trPr>
          <w:trHeight w:val="674"/>
        </w:trPr>
        <w:tc>
          <w:tcPr>
            <w:tcW w:w="2798" w:type="dxa"/>
            <w:tcBorders>
              <w:top w:val="single" w:sz="12" w:space="0" w:color="auto"/>
              <w:bottom w:val="single" w:sz="4" w:space="0" w:color="auto"/>
            </w:tcBorders>
            <w:shd w:val="clear" w:color="auto" w:fill="auto"/>
            <w:vAlign w:val="center"/>
          </w:tcPr>
          <w:p w14:paraId="4B3241E4" w14:textId="77777777" w:rsidR="00B55010" w:rsidRPr="0080513E" w:rsidRDefault="00B55010" w:rsidP="007C355F">
            <w:pPr>
              <w:jc w:val="center"/>
              <w:rPr>
                <w:rFonts w:cs="Arial"/>
                <w:sz w:val="18"/>
                <w:szCs w:val="18"/>
              </w:rPr>
            </w:pPr>
            <w:r w:rsidRPr="0080513E">
              <w:rPr>
                <w:rFonts w:cs="Arial"/>
                <w:sz w:val="18"/>
                <w:szCs w:val="18"/>
              </w:rPr>
              <w:t>Marginal</w:t>
            </w:r>
          </w:p>
          <w:p w14:paraId="6216A2A4" w14:textId="77777777" w:rsidR="00B55010" w:rsidRPr="0080513E" w:rsidRDefault="00B55010" w:rsidP="007C355F">
            <w:pPr>
              <w:jc w:val="center"/>
              <w:rPr>
                <w:rFonts w:cs="Arial"/>
                <w:sz w:val="18"/>
                <w:szCs w:val="18"/>
              </w:rPr>
            </w:pPr>
            <w:r w:rsidRPr="0080513E">
              <w:rPr>
                <w:rFonts w:cs="Arial"/>
                <w:sz w:val="18"/>
                <w:szCs w:val="18"/>
              </w:rPr>
              <w:t>250</w:t>
            </w:r>
            <w:r>
              <w:rPr>
                <w:rFonts w:cs="Arial"/>
                <w:sz w:val="18"/>
                <w:szCs w:val="18"/>
              </w:rPr>
              <w:t xml:space="preserve"> - 500</w:t>
            </w:r>
          </w:p>
        </w:tc>
        <w:tc>
          <w:tcPr>
            <w:tcW w:w="2777" w:type="dxa"/>
            <w:tcBorders>
              <w:top w:val="single" w:sz="12" w:space="0" w:color="auto"/>
              <w:bottom w:val="single" w:sz="4" w:space="0" w:color="auto"/>
            </w:tcBorders>
            <w:shd w:val="clear" w:color="auto" w:fill="auto"/>
            <w:vAlign w:val="center"/>
          </w:tcPr>
          <w:p w14:paraId="196A4D1D" w14:textId="77777777" w:rsidR="00B55010" w:rsidRPr="0080513E" w:rsidRDefault="00B55010" w:rsidP="007C355F">
            <w:pPr>
              <w:jc w:val="center"/>
              <w:rPr>
                <w:rFonts w:cs="Arial"/>
                <w:sz w:val="18"/>
                <w:szCs w:val="18"/>
              </w:rPr>
            </w:pPr>
            <w:r w:rsidRPr="0080513E">
              <w:rPr>
                <w:rFonts w:cs="Arial"/>
                <w:sz w:val="18"/>
                <w:szCs w:val="18"/>
              </w:rPr>
              <w:t>Marginal</w:t>
            </w:r>
          </w:p>
          <w:p w14:paraId="1E1D1BB7" w14:textId="77777777" w:rsidR="00B55010" w:rsidRPr="0080513E" w:rsidRDefault="00B55010" w:rsidP="007C355F">
            <w:pPr>
              <w:jc w:val="center"/>
              <w:rPr>
                <w:rFonts w:cs="Arial"/>
                <w:sz w:val="18"/>
                <w:szCs w:val="18"/>
              </w:rPr>
            </w:pPr>
            <w:r w:rsidRPr="0080513E">
              <w:rPr>
                <w:rFonts w:cs="Arial"/>
                <w:sz w:val="18"/>
                <w:szCs w:val="18"/>
              </w:rPr>
              <w:t>420</w:t>
            </w:r>
            <w:r>
              <w:rPr>
                <w:rFonts w:cs="Arial"/>
                <w:sz w:val="18"/>
                <w:szCs w:val="18"/>
              </w:rPr>
              <w:t xml:space="preserve"> - 600</w:t>
            </w:r>
          </w:p>
        </w:tc>
        <w:tc>
          <w:tcPr>
            <w:tcW w:w="1350" w:type="dxa"/>
            <w:vMerge w:val="restart"/>
            <w:tcBorders>
              <w:top w:val="single" w:sz="12" w:space="0" w:color="auto"/>
              <w:bottom w:val="single" w:sz="4" w:space="0" w:color="auto"/>
            </w:tcBorders>
            <w:vAlign w:val="center"/>
          </w:tcPr>
          <w:p w14:paraId="5DBD0E93" w14:textId="77777777" w:rsidR="00B55010" w:rsidRPr="0080513E" w:rsidRDefault="00B55010" w:rsidP="007C355F">
            <w:pPr>
              <w:jc w:val="center"/>
              <w:rPr>
                <w:rFonts w:cs="Arial"/>
              </w:rPr>
            </w:pPr>
            <w:r w:rsidRPr="0080513E">
              <w:rPr>
                <w:rFonts w:cs="Arial"/>
                <w:iCs/>
                <w:sz w:val="18"/>
                <w:szCs w:val="18"/>
              </w:rPr>
              <w:t>250.5 - 500.4</w:t>
            </w:r>
          </w:p>
        </w:tc>
        <w:tc>
          <w:tcPr>
            <w:tcW w:w="1260" w:type="dxa"/>
            <w:vMerge w:val="restart"/>
            <w:tcBorders>
              <w:top w:val="single" w:sz="12" w:space="0" w:color="auto"/>
              <w:bottom w:val="single" w:sz="4" w:space="0" w:color="auto"/>
            </w:tcBorders>
            <w:vAlign w:val="center"/>
          </w:tcPr>
          <w:p w14:paraId="38E5081A" w14:textId="77777777" w:rsidR="00B55010" w:rsidRPr="0080513E" w:rsidRDefault="00B55010" w:rsidP="007C355F">
            <w:pPr>
              <w:jc w:val="center"/>
              <w:rPr>
                <w:rFonts w:cs="Arial"/>
              </w:rPr>
            </w:pPr>
            <w:r w:rsidRPr="0080513E">
              <w:rPr>
                <w:rFonts w:cs="Arial"/>
                <w:iCs/>
                <w:sz w:val="18"/>
                <w:szCs w:val="18"/>
              </w:rPr>
              <w:t>425 - 604</w:t>
            </w:r>
          </w:p>
        </w:tc>
        <w:tc>
          <w:tcPr>
            <w:tcW w:w="1980" w:type="dxa"/>
            <w:vMerge w:val="restart"/>
            <w:tcBorders>
              <w:top w:val="single" w:sz="12" w:space="0" w:color="auto"/>
              <w:bottom w:val="single" w:sz="4" w:space="0" w:color="auto"/>
            </w:tcBorders>
            <w:shd w:val="clear" w:color="auto" w:fill="auto"/>
            <w:vAlign w:val="center"/>
          </w:tcPr>
          <w:p w14:paraId="45749A19" w14:textId="77777777" w:rsidR="00B55010" w:rsidRPr="00862920" w:rsidRDefault="00B55010" w:rsidP="007C355F">
            <w:pPr>
              <w:rPr>
                <w:rFonts w:cs="Arial"/>
              </w:rPr>
            </w:pPr>
            <w:r w:rsidRPr="00862920">
              <w:rPr>
                <w:rFonts w:cs="Arial"/>
                <w:b/>
                <w:bCs/>
                <w:iCs/>
                <w:sz w:val="18"/>
                <w:szCs w:val="18"/>
                <w:u w:val="single"/>
              </w:rPr>
              <w:t>Hazardous</w:t>
            </w:r>
            <w:r w:rsidRPr="00862920">
              <w:rPr>
                <w:rFonts w:cs="Arial"/>
                <w:iCs/>
                <w:sz w:val="18"/>
                <w:szCs w:val="18"/>
              </w:rPr>
              <w:t xml:space="preserve"> </w:t>
            </w:r>
          </w:p>
        </w:tc>
      </w:tr>
      <w:tr w:rsidR="00B55010" w:rsidRPr="00862920" w14:paraId="32CB9331" w14:textId="77777777" w:rsidTr="007C355F">
        <w:trPr>
          <w:trHeight w:val="1277"/>
        </w:trPr>
        <w:tc>
          <w:tcPr>
            <w:tcW w:w="5575" w:type="dxa"/>
            <w:gridSpan w:val="2"/>
            <w:tcBorders>
              <w:top w:val="single" w:sz="4" w:space="0" w:color="auto"/>
              <w:bottom w:val="single" w:sz="12" w:space="0" w:color="auto"/>
            </w:tcBorders>
            <w:shd w:val="clear" w:color="auto" w:fill="auto"/>
            <w:vAlign w:val="center"/>
          </w:tcPr>
          <w:p w14:paraId="69FAFD6E" w14:textId="77777777" w:rsidR="00B55010" w:rsidRPr="0080513E" w:rsidRDefault="00B55010" w:rsidP="007C355F">
            <w:pPr>
              <w:rPr>
                <w:rFonts w:cs="Arial"/>
                <w:sz w:val="18"/>
                <w:szCs w:val="18"/>
              </w:rPr>
            </w:pPr>
            <w:proofErr w:type="gramStart"/>
            <w:r w:rsidRPr="0080513E">
              <w:rPr>
                <w:rFonts w:cs="Arial"/>
                <w:sz w:val="18"/>
                <w:szCs w:val="18"/>
              </w:rPr>
              <w:lastRenderedPageBreak/>
              <w:t>A majority of</w:t>
            </w:r>
            <w:proofErr w:type="gramEnd"/>
            <w:r w:rsidRPr="0080513E">
              <w:rPr>
                <w:rFonts w:cs="Arial"/>
                <w:sz w:val="18"/>
                <w:szCs w:val="18"/>
              </w:rPr>
              <w:t xml:space="preserve"> personnel will experience notable eye, nose, and throat irritation and some respiratory effects. Some lost-duty days are expected. Significant aerobic activity will increase risk. Those with a history of asthma or cardiopulmonary disease are expected to experience increased symptoms.</w:t>
            </w:r>
          </w:p>
        </w:tc>
        <w:tc>
          <w:tcPr>
            <w:tcW w:w="1350" w:type="dxa"/>
            <w:vMerge/>
            <w:tcBorders>
              <w:bottom w:val="single" w:sz="12" w:space="0" w:color="auto"/>
            </w:tcBorders>
            <w:vAlign w:val="center"/>
          </w:tcPr>
          <w:p w14:paraId="5CD96456" w14:textId="77777777" w:rsidR="00B55010" w:rsidRPr="0080513E" w:rsidRDefault="00B55010" w:rsidP="007C355F">
            <w:pPr>
              <w:jc w:val="center"/>
              <w:rPr>
                <w:rFonts w:cs="Arial"/>
                <w:iCs/>
                <w:sz w:val="18"/>
                <w:szCs w:val="18"/>
              </w:rPr>
            </w:pPr>
          </w:p>
        </w:tc>
        <w:tc>
          <w:tcPr>
            <w:tcW w:w="1260" w:type="dxa"/>
            <w:vMerge/>
            <w:tcBorders>
              <w:bottom w:val="single" w:sz="12" w:space="0" w:color="auto"/>
            </w:tcBorders>
            <w:vAlign w:val="center"/>
          </w:tcPr>
          <w:p w14:paraId="1AEB2F5B" w14:textId="77777777" w:rsidR="00B55010" w:rsidRPr="0080513E" w:rsidRDefault="00B55010" w:rsidP="007C355F">
            <w:pPr>
              <w:jc w:val="center"/>
              <w:rPr>
                <w:rFonts w:cs="Arial"/>
                <w:iCs/>
                <w:sz w:val="18"/>
                <w:szCs w:val="18"/>
              </w:rPr>
            </w:pPr>
          </w:p>
        </w:tc>
        <w:tc>
          <w:tcPr>
            <w:tcW w:w="1980" w:type="dxa"/>
            <w:vMerge/>
            <w:tcBorders>
              <w:bottom w:val="single" w:sz="12" w:space="0" w:color="auto"/>
            </w:tcBorders>
            <w:shd w:val="clear" w:color="auto" w:fill="auto"/>
            <w:vAlign w:val="center"/>
          </w:tcPr>
          <w:p w14:paraId="4B84700D" w14:textId="77777777" w:rsidR="00B55010" w:rsidRPr="00862920" w:rsidRDefault="00B55010" w:rsidP="007C355F">
            <w:pPr>
              <w:rPr>
                <w:rFonts w:cs="Arial"/>
                <w:b/>
                <w:bCs/>
                <w:iCs/>
                <w:sz w:val="18"/>
                <w:szCs w:val="18"/>
                <w:u w:val="single"/>
              </w:rPr>
            </w:pPr>
          </w:p>
        </w:tc>
      </w:tr>
      <w:tr w:rsidR="00B55010" w:rsidRPr="00862920" w14:paraId="0CC791CE" w14:textId="77777777" w:rsidTr="007C355F">
        <w:trPr>
          <w:trHeight w:val="710"/>
        </w:trPr>
        <w:tc>
          <w:tcPr>
            <w:tcW w:w="2798" w:type="dxa"/>
            <w:tcBorders>
              <w:top w:val="single" w:sz="12" w:space="0" w:color="auto"/>
              <w:bottom w:val="single" w:sz="4" w:space="0" w:color="auto"/>
            </w:tcBorders>
            <w:shd w:val="clear" w:color="auto" w:fill="auto"/>
            <w:vAlign w:val="center"/>
          </w:tcPr>
          <w:p w14:paraId="46DA8AEE" w14:textId="77777777" w:rsidR="00B55010" w:rsidRPr="0080513E" w:rsidRDefault="00B55010" w:rsidP="007C355F">
            <w:pPr>
              <w:jc w:val="center"/>
              <w:rPr>
                <w:rFonts w:cs="Arial"/>
                <w:iCs/>
                <w:sz w:val="18"/>
                <w:szCs w:val="18"/>
              </w:rPr>
            </w:pPr>
            <w:r w:rsidRPr="0080513E">
              <w:rPr>
                <w:rFonts w:cs="Arial"/>
                <w:iCs/>
                <w:sz w:val="18"/>
                <w:szCs w:val="18"/>
              </w:rPr>
              <w:t>Critical</w:t>
            </w:r>
          </w:p>
          <w:p w14:paraId="491094EB" w14:textId="77777777" w:rsidR="00B55010" w:rsidRPr="0080513E" w:rsidRDefault="00B55010" w:rsidP="007C355F">
            <w:pPr>
              <w:jc w:val="center"/>
              <w:rPr>
                <w:rFonts w:cs="Arial"/>
              </w:rPr>
            </w:pPr>
            <w:r w:rsidRPr="0080513E">
              <w:rPr>
                <w:rFonts w:cs="Arial"/>
                <w:iCs/>
                <w:sz w:val="18"/>
                <w:szCs w:val="18"/>
              </w:rPr>
              <w:t>500 and higher</w:t>
            </w:r>
          </w:p>
        </w:tc>
        <w:tc>
          <w:tcPr>
            <w:tcW w:w="2777" w:type="dxa"/>
            <w:tcBorders>
              <w:top w:val="single" w:sz="12" w:space="0" w:color="auto"/>
              <w:bottom w:val="single" w:sz="4" w:space="0" w:color="auto"/>
            </w:tcBorders>
            <w:shd w:val="clear" w:color="auto" w:fill="auto"/>
            <w:vAlign w:val="center"/>
          </w:tcPr>
          <w:p w14:paraId="1C2DC7A7" w14:textId="77777777" w:rsidR="00B55010" w:rsidRPr="0080513E" w:rsidRDefault="00B55010" w:rsidP="007C355F">
            <w:pPr>
              <w:jc w:val="center"/>
              <w:rPr>
                <w:rFonts w:cs="Arial"/>
                <w:iCs/>
                <w:sz w:val="18"/>
                <w:szCs w:val="18"/>
              </w:rPr>
            </w:pPr>
            <w:r w:rsidRPr="0080513E">
              <w:rPr>
                <w:rFonts w:cs="Arial"/>
                <w:iCs/>
                <w:sz w:val="18"/>
                <w:szCs w:val="18"/>
              </w:rPr>
              <w:t>Critical</w:t>
            </w:r>
          </w:p>
          <w:p w14:paraId="235101B3" w14:textId="77777777" w:rsidR="00B55010" w:rsidRPr="0080513E" w:rsidRDefault="00B55010" w:rsidP="007C355F">
            <w:pPr>
              <w:jc w:val="center"/>
              <w:rPr>
                <w:rFonts w:cs="Arial"/>
              </w:rPr>
            </w:pPr>
            <w:r w:rsidRPr="0080513E">
              <w:rPr>
                <w:rFonts w:cs="Arial"/>
                <w:iCs/>
                <w:sz w:val="18"/>
                <w:szCs w:val="18"/>
              </w:rPr>
              <w:t>600 and higher</w:t>
            </w:r>
          </w:p>
        </w:tc>
        <w:tc>
          <w:tcPr>
            <w:tcW w:w="1350" w:type="dxa"/>
            <w:vMerge w:val="restart"/>
            <w:tcBorders>
              <w:top w:val="single" w:sz="12" w:space="0" w:color="auto"/>
              <w:bottom w:val="single" w:sz="4" w:space="0" w:color="auto"/>
            </w:tcBorders>
            <w:vAlign w:val="center"/>
          </w:tcPr>
          <w:p w14:paraId="75BAF40F" w14:textId="77777777" w:rsidR="00B55010" w:rsidRPr="0080513E" w:rsidRDefault="00B55010" w:rsidP="007C355F">
            <w:pPr>
              <w:jc w:val="center"/>
              <w:rPr>
                <w:rFonts w:cs="Arial"/>
              </w:rPr>
            </w:pPr>
            <w:r w:rsidRPr="0080513E">
              <w:rPr>
                <w:rFonts w:cs="Arial"/>
                <w:iCs/>
                <w:sz w:val="18"/>
                <w:szCs w:val="18"/>
              </w:rPr>
              <w:t>500.5 and higher</w:t>
            </w:r>
          </w:p>
        </w:tc>
        <w:tc>
          <w:tcPr>
            <w:tcW w:w="1260" w:type="dxa"/>
            <w:vMerge w:val="restart"/>
            <w:tcBorders>
              <w:top w:val="single" w:sz="12" w:space="0" w:color="auto"/>
              <w:bottom w:val="single" w:sz="4" w:space="0" w:color="auto"/>
            </w:tcBorders>
            <w:vAlign w:val="center"/>
          </w:tcPr>
          <w:p w14:paraId="2031E0F5" w14:textId="77777777" w:rsidR="00B55010" w:rsidRPr="0080513E" w:rsidRDefault="00B55010" w:rsidP="007C355F">
            <w:pPr>
              <w:jc w:val="center"/>
              <w:rPr>
                <w:rFonts w:cs="Arial"/>
              </w:rPr>
            </w:pPr>
            <w:r w:rsidRPr="0080513E">
              <w:rPr>
                <w:rFonts w:cs="Arial"/>
                <w:iCs/>
                <w:sz w:val="18"/>
                <w:szCs w:val="18"/>
              </w:rPr>
              <w:t>605 and higher</w:t>
            </w:r>
          </w:p>
        </w:tc>
        <w:tc>
          <w:tcPr>
            <w:tcW w:w="1980" w:type="dxa"/>
            <w:vMerge w:val="restart"/>
            <w:tcBorders>
              <w:top w:val="single" w:sz="12" w:space="0" w:color="auto"/>
              <w:bottom w:val="single" w:sz="4" w:space="0" w:color="auto"/>
            </w:tcBorders>
            <w:shd w:val="clear" w:color="auto" w:fill="auto"/>
            <w:vAlign w:val="center"/>
          </w:tcPr>
          <w:p w14:paraId="348FD412" w14:textId="77777777" w:rsidR="00B55010" w:rsidRPr="00862920" w:rsidRDefault="00B55010" w:rsidP="007C355F">
            <w:pPr>
              <w:rPr>
                <w:rFonts w:cs="Arial"/>
              </w:rPr>
            </w:pPr>
            <w:r w:rsidRPr="00862920">
              <w:rPr>
                <w:rFonts w:cs="Arial"/>
                <w:b/>
                <w:bCs/>
                <w:iCs/>
                <w:sz w:val="18"/>
                <w:szCs w:val="18"/>
                <w:u w:val="single"/>
              </w:rPr>
              <w:t>Extremely Hazardous</w:t>
            </w:r>
            <w:r w:rsidRPr="00862920">
              <w:rPr>
                <w:rFonts w:cs="Arial"/>
                <w:iCs/>
                <w:sz w:val="18"/>
                <w:szCs w:val="18"/>
              </w:rPr>
              <w:t xml:space="preserve"> </w:t>
            </w:r>
          </w:p>
        </w:tc>
      </w:tr>
      <w:tr w:rsidR="00B55010" w:rsidRPr="00861268" w14:paraId="62A8DD7D" w14:textId="77777777" w:rsidTr="007C355F">
        <w:trPr>
          <w:trHeight w:val="1871"/>
        </w:trPr>
        <w:tc>
          <w:tcPr>
            <w:tcW w:w="5575" w:type="dxa"/>
            <w:gridSpan w:val="2"/>
            <w:tcBorders>
              <w:top w:val="single" w:sz="4" w:space="0" w:color="auto"/>
              <w:bottom w:val="single" w:sz="12" w:space="0" w:color="auto"/>
            </w:tcBorders>
            <w:shd w:val="clear" w:color="auto" w:fill="auto"/>
            <w:vAlign w:val="center"/>
          </w:tcPr>
          <w:p w14:paraId="5F314874" w14:textId="77777777" w:rsidR="00B55010" w:rsidRPr="00862920" w:rsidRDefault="00B55010" w:rsidP="007C355F">
            <w:pPr>
              <w:rPr>
                <w:rFonts w:cs="Arial"/>
              </w:rPr>
            </w:pPr>
            <w:r w:rsidRPr="00862920">
              <w:rPr>
                <w:rFonts w:cs="Arial"/>
                <w:sz w:val="18"/>
                <w:szCs w:val="18"/>
              </w:rPr>
              <w:t>Most if not all personnel will experience very notable eye, nose, and throat irritation and respiratory effects. Visual acuity is impaired, as is overall aerobic capacity. Some personnel will not be able to perform assigned duties. Some lost-duty days are expected. Those with a history of asthma or cardiopulmonary disease will experience more severe symptoms. Conditions may also result in adverse, non-health related materiel/logistical impacts.</w:t>
            </w:r>
          </w:p>
        </w:tc>
        <w:tc>
          <w:tcPr>
            <w:tcW w:w="1350" w:type="dxa"/>
            <w:vMerge/>
            <w:tcBorders>
              <w:bottom w:val="single" w:sz="12" w:space="0" w:color="auto"/>
            </w:tcBorders>
            <w:vAlign w:val="center"/>
          </w:tcPr>
          <w:p w14:paraId="00B561F6" w14:textId="77777777" w:rsidR="00B55010" w:rsidRPr="00861268" w:rsidRDefault="00B55010" w:rsidP="007C355F">
            <w:pPr>
              <w:jc w:val="center"/>
              <w:rPr>
                <w:rFonts w:cs="Arial"/>
                <w:iCs/>
                <w:sz w:val="18"/>
                <w:szCs w:val="18"/>
                <w:highlight w:val="cyan"/>
              </w:rPr>
            </w:pPr>
          </w:p>
        </w:tc>
        <w:tc>
          <w:tcPr>
            <w:tcW w:w="1260" w:type="dxa"/>
            <w:vMerge/>
            <w:tcBorders>
              <w:bottom w:val="single" w:sz="12" w:space="0" w:color="auto"/>
            </w:tcBorders>
            <w:vAlign w:val="center"/>
          </w:tcPr>
          <w:p w14:paraId="497BC959" w14:textId="77777777" w:rsidR="00B55010" w:rsidRPr="00861268" w:rsidRDefault="00B55010" w:rsidP="007C355F">
            <w:pPr>
              <w:jc w:val="center"/>
              <w:rPr>
                <w:rFonts w:cs="Arial"/>
                <w:iCs/>
                <w:sz w:val="18"/>
                <w:szCs w:val="18"/>
                <w:highlight w:val="cyan"/>
              </w:rPr>
            </w:pPr>
          </w:p>
        </w:tc>
        <w:tc>
          <w:tcPr>
            <w:tcW w:w="1980" w:type="dxa"/>
            <w:vMerge/>
            <w:tcBorders>
              <w:bottom w:val="single" w:sz="12" w:space="0" w:color="auto"/>
            </w:tcBorders>
            <w:shd w:val="clear" w:color="auto" w:fill="7E0023"/>
            <w:vAlign w:val="center"/>
          </w:tcPr>
          <w:p w14:paraId="2CE830E7" w14:textId="77777777" w:rsidR="00B55010" w:rsidRPr="00861268" w:rsidRDefault="00B55010" w:rsidP="007C355F">
            <w:pPr>
              <w:rPr>
                <w:rFonts w:cs="Arial"/>
                <w:b/>
                <w:bCs/>
                <w:iCs/>
                <w:sz w:val="18"/>
                <w:szCs w:val="18"/>
                <w:highlight w:val="cyan"/>
                <w:u w:val="single"/>
              </w:rPr>
            </w:pPr>
          </w:p>
        </w:tc>
      </w:tr>
      <w:tr w:rsidR="00B55010" w:rsidRPr="00FC58A9" w14:paraId="2F9C132D" w14:textId="77777777" w:rsidTr="00034657">
        <w:trPr>
          <w:trHeight w:val="447"/>
        </w:trPr>
        <w:tc>
          <w:tcPr>
            <w:tcW w:w="10165" w:type="dxa"/>
            <w:gridSpan w:val="5"/>
            <w:tcBorders>
              <w:top w:val="single" w:sz="12" w:space="0" w:color="auto"/>
              <w:left w:val="nil"/>
              <w:bottom w:val="nil"/>
              <w:right w:val="nil"/>
            </w:tcBorders>
            <w:shd w:val="clear" w:color="auto" w:fill="auto"/>
          </w:tcPr>
          <w:p w14:paraId="7CE4BFA2" w14:textId="77777777" w:rsidR="00AE5DB1" w:rsidRPr="006E0FB1" w:rsidRDefault="00AE5DB1" w:rsidP="007C355F">
            <w:pPr>
              <w:rPr>
                <w:rFonts w:cs="Arial"/>
                <w:iCs/>
                <w:sz w:val="18"/>
                <w:szCs w:val="18"/>
              </w:rPr>
            </w:pPr>
            <w:r w:rsidRPr="006E0FB1">
              <w:rPr>
                <w:rFonts w:cs="Arial"/>
                <w:iCs/>
                <w:sz w:val="18"/>
                <w:szCs w:val="18"/>
              </w:rPr>
              <w:t>Note:</w:t>
            </w:r>
          </w:p>
          <w:p w14:paraId="034600DF" w14:textId="096C8B44" w:rsidR="00B55010" w:rsidRPr="00861268" w:rsidRDefault="00B55010" w:rsidP="007C355F">
            <w:pPr>
              <w:rPr>
                <w:rFonts w:cs="Arial"/>
                <w:iCs/>
                <w:sz w:val="18"/>
                <w:szCs w:val="18"/>
                <w:highlight w:val="cyan"/>
              </w:rPr>
            </w:pPr>
            <w:r w:rsidRPr="00DF4BAE">
              <w:rPr>
                <w:rFonts w:cs="Arial"/>
                <w:iCs/>
                <w:sz w:val="18"/>
                <w:szCs w:val="18"/>
                <w:vertAlign w:val="superscript"/>
              </w:rPr>
              <w:t xml:space="preserve">1 </w:t>
            </w:r>
            <w:r w:rsidRPr="00DF4BAE">
              <w:rPr>
                <w:rFonts w:cs="Arial"/>
                <w:iCs/>
                <w:sz w:val="18"/>
                <w:szCs w:val="18"/>
              </w:rPr>
              <w:t xml:space="preserve">EPA Technical Assistance Document for the Reporting of Daily Air Quality – the Air Quality Index (AQI), </w:t>
            </w:r>
            <w:r w:rsidRPr="00DF4BAE">
              <w:rPr>
                <w:sz w:val="18"/>
                <w:szCs w:val="18"/>
              </w:rPr>
              <w:t xml:space="preserve">EPA 454/B-18-007, September 2018, </w:t>
            </w:r>
            <w:hyperlink r:id="rId17" w:history="1">
              <w:r w:rsidRPr="00DF4BAE">
                <w:rPr>
                  <w:color w:val="0000FF"/>
                  <w:sz w:val="18"/>
                  <w:szCs w:val="18"/>
                  <w:u w:val="single"/>
                </w:rPr>
                <w:t>aqi-technical-assistance-document-sept2018.pdf (airnow.gov)</w:t>
              </w:r>
            </w:hyperlink>
            <w:r w:rsidRPr="0080513E">
              <w:rPr>
                <w:sz w:val="22"/>
                <w:szCs w:val="22"/>
              </w:rPr>
              <w:t xml:space="preserve"> </w:t>
            </w:r>
          </w:p>
        </w:tc>
      </w:tr>
    </w:tbl>
    <w:p w14:paraId="0A6FC97C" w14:textId="10DC35EB" w:rsidR="00B55010" w:rsidRDefault="00B55010" w:rsidP="00B130D4"/>
    <w:p w14:paraId="74776892" w14:textId="77777777" w:rsidR="00B55010" w:rsidRPr="001873DE" w:rsidRDefault="00B55010" w:rsidP="00B55010">
      <w:pPr>
        <w:pStyle w:val="Heading3"/>
        <w:rPr>
          <w:highlight w:val="yellow"/>
        </w:rPr>
      </w:pPr>
      <w:r w:rsidRPr="001873DE">
        <w:rPr>
          <w:highlight w:val="yellow"/>
        </w:rPr>
        <w:t>Components of Burn Pit Smoke</w:t>
      </w:r>
    </w:p>
    <w:p w14:paraId="581E7F74" w14:textId="77777777" w:rsidR="0028034E" w:rsidRPr="0028034E" w:rsidRDefault="0028034E" w:rsidP="0028034E"/>
    <w:p w14:paraId="0CE0384A" w14:textId="09B70069" w:rsidR="00B55010" w:rsidRPr="0028034E" w:rsidRDefault="0028034E" w:rsidP="00B130D4">
      <w:pPr>
        <w:rPr>
          <w:b/>
          <w:bCs/>
          <w:color w:val="0070C0"/>
        </w:rPr>
      </w:pPr>
      <w:r w:rsidRPr="0028034E">
        <w:rPr>
          <w:b/>
          <w:bCs/>
          <w:color w:val="0070C0"/>
        </w:rPr>
        <w:t xml:space="preserve">[Include </w:t>
      </w:r>
      <w:r w:rsidR="0052330A">
        <w:rPr>
          <w:b/>
          <w:bCs/>
          <w:color w:val="0070C0"/>
        </w:rPr>
        <w:t>if</w:t>
      </w:r>
      <w:r w:rsidRPr="0028034E">
        <w:rPr>
          <w:b/>
          <w:bCs/>
          <w:color w:val="0070C0"/>
        </w:rPr>
        <w:t xml:space="preserve"> a burn pit was present and affecting </w:t>
      </w:r>
      <w:r w:rsidR="00A23AB4">
        <w:rPr>
          <w:b/>
          <w:bCs/>
          <w:color w:val="0070C0"/>
        </w:rPr>
        <w:t xml:space="preserve">the </w:t>
      </w:r>
      <w:r w:rsidRPr="0028034E">
        <w:rPr>
          <w:b/>
          <w:bCs/>
          <w:color w:val="0070C0"/>
        </w:rPr>
        <w:t>air quality]</w:t>
      </w:r>
    </w:p>
    <w:p w14:paraId="68C99C27" w14:textId="77777777" w:rsidR="0028034E" w:rsidRPr="00B130D4" w:rsidRDefault="0028034E" w:rsidP="00B130D4"/>
    <w:p w14:paraId="7B56166B" w14:textId="11B433F1" w:rsidR="008A65C1" w:rsidRPr="00B130D4" w:rsidRDefault="008A65C1" w:rsidP="00B130D4">
      <w:r w:rsidRPr="001873DE">
        <w:rPr>
          <w:highlight w:val="yellow"/>
        </w:rPr>
        <w:t xml:space="preserve">The </w:t>
      </w:r>
      <w:r w:rsidR="009A7027" w:rsidRPr="001873DE">
        <w:rPr>
          <w:highlight w:val="yellow"/>
        </w:rPr>
        <w:t xml:space="preserve">composition </w:t>
      </w:r>
      <w:r w:rsidRPr="001873DE">
        <w:rPr>
          <w:highlight w:val="yellow"/>
        </w:rPr>
        <w:t xml:space="preserve">of burn pit smoke is complex due to </w:t>
      </w:r>
      <w:r w:rsidR="00A47FB4" w:rsidRPr="001873DE">
        <w:rPr>
          <w:highlight w:val="yellow"/>
        </w:rPr>
        <w:t xml:space="preserve">factors including </w:t>
      </w:r>
      <w:r w:rsidRPr="001873DE">
        <w:rPr>
          <w:highlight w:val="yellow"/>
        </w:rPr>
        <w:t>variations in the waste type</w:t>
      </w:r>
      <w:r w:rsidR="00A47FB4" w:rsidRPr="001873DE">
        <w:rPr>
          <w:highlight w:val="yellow"/>
        </w:rPr>
        <w:t>s</w:t>
      </w:r>
      <w:r w:rsidR="00022D29">
        <w:rPr>
          <w:highlight w:val="yellow"/>
        </w:rPr>
        <w:t>;</w:t>
      </w:r>
      <w:r w:rsidR="009A7027" w:rsidRPr="001873DE">
        <w:rPr>
          <w:highlight w:val="yellow"/>
        </w:rPr>
        <w:t xml:space="preserve"> </w:t>
      </w:r>
      <w:r w:rsidR="00022D29">
        <w:rPr>
          <w:highlight w:val="yellow"/>
        </w:rPr>
        <w:t xml:space="preserve">the </w:t>
      </w:r>
      <w:r w:rsidR="009A7027" w:rsidRPr="001873DE">
        <w:rPr>
          <w:highlight w:val="yellow"/>
        </w:rPr>
        <w:t>moisture content</w:t>
      </w:r>
      <w:r w:rsidR="00022D29">
        <w:rPr>
          <w:highlight w:val="yellow"/>
        </w:rPr>
        <w:t>;</w:t>
      </w:r>
      <w:r w:rsidRPr="001873DE">
        <w:rPr>
          <w:highlight w:val="yellow"/>
        </w:rPr>
        <w:t xml:space="preserve"> the combustion temperature and completeness of combustion</w:t>
      </w:r>
      <w:r w:rsidR="00022D29">
        <w:rPr>
          <w:highlight w:val="yellow"/>
        </w:rPr>
        <w:t>;</w:t>
      </w:r>
      <w:r w:rsidRPr="001873DE">
        <w:rPr>
          <w:highlight w:val="yellow"/>
        </w:rPr>
        <w:t xml:space="preserve"> the size</w:t>
      </w:r>
      <w:r w:rsidR="00A47FB4" w:rsidRPr="001873DE">
        <w:rPr>
          <w:highlight w:val="yellow"/>
        </w:rPr>
        <w:t>, volume, depth, and layout (e.g., waste in windrows or piles)</w:t>
      </w:r>
      <w:r w:rsidRPr="001873DE">
        <w:rPr>
          <w:highlight w:val="yellow"/>
        </w:rPr>
        <w:t xml:space="preserve"> of the open burn pits</w:t>
      </w:r>
      <w:r w:rsidR="00022D29">
        <w:rPr>
          <w:highlight w:val="yellow"/>
        </w:rPr>
        <w:t>;</w:t>
      </w:r>
      <w:r w:rsidRPr="001873DE">
        <w:rPr>
          <w:highlight w:val="yellow"/>
        </w:rPr>
        <w:t xml:space="preserve"> and the local environmental conditions</w:t>
      </w:r>
      <w:r w:rsidR="00A47FB4" w:rsidRPr="001873DE">
        <w:rPr>
          <w:highlight w:val="yellow"/>
        </w:rPr>
        <w:t xml:space="preserve"> during a burn</w:t>
      </w:r>
      <w:r w:rsidRPr="001873DE">
        <w:rPr>
          <w:highlight w:val="yellow"/>
        </w:rPr>
        <w:t xml:space="preserve">. The pollutants </w:t>
      </w:r>
      <w:r w:rsidR="00A47FB4" w:rsidRPr="001873DE">
        <w:rPr>
          <w:highlight w:val="yellow"/>
        </w:rPr>
        <w:t xml:space="preserve">resulting </w:t>
      </w:r>
      <w:r w:rsidRPr="001873DE">
        <w:rPr>
          <w:highlight w:val="yellow"/>
        </w:rPr>
        <w:t xml:space="preserve">from the burning of wastes </w:t>
      </w:r>
      <w:r w:rsidR="00A47FB4" w:rsidRPr="001873DE">
        <w:rPr>
          <w:highlight w:val="yellow"/>
        </w:rPr>
        <w:t xml:space="preserve">will vary </w:t>
      </w:r>
      <w:r w:rsidR="00DA7421" w:rsidRPr="001873DE">
        <w:rPr>
          <w:highlight w:val="yellow"/>
        </w:rPr>
        <w:t>across</w:t>
      </w:r>
      <w:r w:rsidR="00A47FB4" w:rsidRPr="001873DE">
        <w:rPr>
          <w:highlight w:val="yellow"/>
        </w:rPr>
        <w:t xml:space="preserve"> initiation, </w:t>
      </w:r>
      <w:r w:rsidRPr="001873DE">
        <w:rPr>
          <w:highlight w:val="yellow"/>
        </w:rPr>
        <w:t>flaming</w:t>
      </w:r>
      <w:r w:rsidR="00A47FB4" w:rsidRPr="001873DE">
        <w:rPr>
          <w:highlight w:val="yellow"/>
        </w:rPr>
        <w:t xml:space="preserve">, and </w:t>
      </w:r>
      <w:r w:rsidRPr="001873DE">
        <w:rPr>
          <w:highlight w:val="yellow"/>
        </w:rPr>
        <w:t xml:space="preserve">smoldering combustion, </w:t>
      </w:r>
      <w:r w:rsidR="00A47FB4" w:rsidRPr="001873DE">
        <w:rPr>
          <w:highlight w:val="yellow"/>
        </w:rPr>
        <w:t xml:space="preserve">and can include </w:t>
      </w:r>
      <w:r w:rsidRPr="001873DE">
        <w:rPr>
          <w:highlight w:val="yellow"/>
        </w:rPr>
        <w:t>variable amounts of dioxins</w:t>
      </w:r>
      <w:r w:rsidR="00A47FB4" w:rsidRPr="001873DE">
        <w:rPr>
          <w:highlight w:val="yellow"/>
        </w:rPr>
        <w:t xml:space="preserve"> and furans</w:t>
      </w:r>
      <w:r w:rsidRPr="001873DE">
        <w:rPr>
          <w:highlight w:val="yellow"/>
        </w:rPr>
        <w:t xml:space="preserve">, particulate matter, polycyclic aromatic hydrocarbons, unsaturated hydrocarbons, aldehydes, volatile organic compounds, carbon monoxide, hexachlorobenzene, </w:t>
      </w:r>
      <w:r w:rsidR="00A47FB4" w:rsidRPr="001873DE">
        <w:rPr>
          <w:highlight w:val="yellow"/>
        </w:rPr>
        <w:t>acid gases, metals, etc.</w:t>
      </w:r>
      <w:r w:rsidR="00052109" w:rsidRPr="001873DE">
        <w:rPr>
          <w:highlight w:val="yellow"/>
        </w:rPr>
        <w:t xml:space="preserve"> </w:t>
      </w:r>
      <w:r w:rsidR="000E24D6" w:rsidRPr="001873DE">
        <w:rPr>
          <w:highlight w:val="yellow"/>
        </w:rPr>
        <w:t>Each of these constituents</w:t>
      </w:r>
      <w:r w:rsidR="00981BAB">
        <w:rPr>
          <w:highlight w:val="yellow"/>
        </w:rPr>
        <w:t>,</w:t>
      </w:r>
      <w:r w:rsidR="000E24D6" w:rsidRPr="001873DE">
        <w:rPr>
          <w:highlight w:val="yellow"/>
        </w:rPr>
        <w:t xml:space="preserve"> </w:t>
      </w:r>
      <w:r w:rsidR="00180452" w:rsidRPr="001873DE">
        <w:rPr>
          <w:highlight w:val="yellow"/>
        </w:rPr>
        <w:t>individually or in combination</w:t>
      </w:r>
      <w:r w:rsidR="00981BAB">
        <w:rPr>
          <w:highlight w:val="yellow"/>
        </w:rPr>
        <w:t>,</w:t>
      </w:r>
      <w:r w:rsidR="00180452" w:rsidRPr="001873DE">
        <w:rPr>
          <w:highlight w:val="yellow"/>
        </w:rPr>
        <w:t xml:space="preserve"> can </w:t>
      </w:r>
      <w:r w:rsidR="000E24D6" w:rsidRPr="001873DE">
        <w:rPr>
          <w:highlight w:val="yellow"/>
        </w:rPr>
        <w:t>have varying toxicities and physiologic effects.</w:t>
      </w:r>
      <w:r w:rsidR="00E30B26" w:rsidRPr="001873DE">
        <w:rPr>
          <w:highlight w:val="yellow"/>
        </w:rPr>
        <w:t xml:space="preserve"> Components of burn pit smoke can also react with other PM and gases </w:t>
      </w:r>
      <w:r w:rsidR="00B130D4" w:rsidRPr="001873DE">
        <w:rPr>
          <w:highlight w:val="yellow"/>
        </w:rPr>
        <w:t>from other sources</w:t>
      </w:r>
      <w:r w:rsidR="00582696" w:rsidRPr="001873DE">
        <w:rPr>
          <w:highlight w:val="yellow"/>
        </w:rPr>
        <w:t>.</w:t>
      </w:r>
    </w:p>
    <w:p w14:paraId="66C70BC5" w14:textId="3317424A" w:rsidR="795A0D8F" w:rsidRDefault="795A0D8F" w:rsidP="795A0D8F"/>
    <w:p w14:paraId="0BA9154D" w14:textId="2DBF866F" w:rsidR="576E6A28" w:rsidRPr="001873DE" w:rsidRDefault="576E6A28" w:rsidP="795A0D8F">
      <w:pPr>
        <w:pStyle w:val="Heading3"/>
        <w:rPr>
          <w:rFonts w:eastAsia="Arial" w:cs="Arial"/>
          <w:szCs w:val="24"/>
          <w:highlight w:val="yellow"/>
        </w:rPr>
      </w:pPr>
      <w:r w:rsidRPr="001873DE">
        <w:rPr>
          <w:rFonts w:eastAsia="Arial" w:cs="Arial"/>
          <w:szCs w:val="24"/>
          <w:highlight w:val="yellow"/>
        </w:rPr>
        <w:t>Components of Incinerator Emissions</w:t>
      </w:r>
    </w:p>
    <w:p w14:paraId="787B4CA0" w14:textId="26604F42" w:rsidR="576E6A28" w:rsidRDefault="576E6A28">
      <w:r w:rsidRPr="795A0D8F">
        <w:rPr>
          <w:rFonts w:eastAsia="Arial" w:cs="Arial"/>
        </w:rPr>
        <w:t xml:space="preserve"> </w:t>
      </w:r>
    </w:p>
    <w:p w14:paraId="3C1F7D43" w14:textId="18384636" w:rsidR="0028034E" w:rsidRPr="0028034E" w:rsidRDefault="0028034E" w:rsidP="795A0D8F">
      <w:pPr>
        <w:rPr>
          <w:rFonts w:eastAsia="Arial" w:cs="Arial"/>
          <w:b/>
          <w:bCs/>
          <w:color w:val="0070C0"/>
        </w:rPr>
      </w:pPr>
      <w:r w:rsidRPr="0028034E">
        <w:rPr>
          <w:rFonts w:eastAsia="Arial" w:cs="Arial"/>
          <w:b/>
          <w:bCs/>
          <w:color w:val="0070C0"/>
        </w:rPr>
        <w:t>[</w:t>
      </w:r>
      <w:r w:rsidRPr="0028034E">
        <w:rPr>
          <w:rStyle w:val="cf01"/>
          <w:rFonts w:ascii="Arial" w:hAnsi="Arial" w:cs="Arial"/>
          <w:b/>
          <w:bCs/>
          <w:color w:val="0070C0"/>
          <w:sz w:val="24"/>
          <w:szCs w:val="24"/>
        </w:rPr>
        <w:t xml:space="preserve">Add this section if your location has waste incinerators. Be sure to also note the incinerator(s) in </w:t>
      </w:r>
      <w:r w:rsidR="006A3790">
        <w:rPr>
          <w:rStyle w:val="cf01"/>
          <w:rFonts w:ascii="Arial" w:hAnsi="Arial" w:cs="Arial"/>
          <w:b/>
          <w:bCs/>
          <w:color w:val="0070C0"/>
          <w:sz w:val="24"/>
          <w:szCs w:val="24"/>
        </w:rPr>
        <w:t xml:space="preserve">the </w:t>
      </w:r>
      <w:r w:rsidR="002D4798" w:rsidRPr="0028034E">
        <w:rPr>
          <w:rStyle w:val="cf01"/>
          <w:rFonts w:ascii="Arial" w:hAnsi="Arial" w:cs="Arial"/>
          <w:b/>
          <w:bCs/>
          <w:color w:val="0070C0"/>
          <w:sz w:val="24"/>
          <w:szCs w:val="24"/>
        </w:rPr>
        <w:t>section</w:t>
      </w:r>
      <w:r w:rsidR="002D4798">
        <w:rPr>
          <w:rStyle w:val="cf01"/>
          <w:rFonts w:ascii="Arial" w:hAnsi="Arial" w:cs="Arial"/>
          <w:b/>
          <w:bCs/>
          <w:color w:val="0070C0"/>
          <w:sz w:val="24"/>
          <w:szCs w:val="24"/>
        </w:rPr>
        <w:t xml:space="preserve"> below, </w:t>
      </w:r>
      <w:r w:rsidR="000B1727">
        <w:rPr>
          <w:rStyle w:val="cf01"/>
          <w:rFonts w:ascii="Arial" w:hAnsi="Arial" w:cs="Arial"/>
          <w:b/>
          <w:bCs/>
          <w:color w:val="0070C0"/>
          <w:sz w:val="24"/>
          <w:szCs w:val="24"/>
        </w:rPr>
        <w:t xml:space="preserve">Site-Specific Sources </w:t>
      </w:r>
      <w:proofErr w:type="gramStart"/>
      <w:r w:rsidR="000B1727">
        <w:rPr>
          <w:rStyle w:val="cf01"/>
          <w:rFonts w:ascii="Arial" w:hAnsi="Arial" w:cs="Arial"/>
          <w:b/>
          <w:bCs/>
          <w:color w:val="0070C0"/>
          <w:sz w:val="24"/>
          <w:szCs w:val="24"/>
        </w:rPr>
        <w:t>Identified</w:t>
      </w:r>
      <w:r w:rsidR="002D4798">
        <w:rPr>
          <w:rStyle w:val="cf01"/>
          <w:rFonts w:ascii="Arial" w:hAnsi="Arial" w:cs="Arial"/>
          <w:b/>
          <w:bCs/>
          <w:color w:val="0070C0"/>
          <w:sz w:val="24"/>
          <w:szCs w:val="24"/>
        </w:rPr>
        <w:t>,</w:t>
      </w:r>
      <w:r w:rsidRPr="0028034E">
        <w:rPr>
          <w:rStyle w:val="cf01"/>
          <w:rFonts w:ascii="Arial" w:hAnsi="Arial" w:cs="Arial"/>
          <w:b/>
          <w:bCs/>
          <w:color w:val="0070C0"/>
          <w:sz w:val="24"/>
          <w:szCs w:val="24"/>
        </w:rPr>
        <w:t xml:space="preserve"> and</w:t>
      </w:r>
      <w:proofErr w:type="gramEnd"/>
      <w:r w:rsidRPr="0028034E">
        <w:rPr>
          <w:rStyle w:val="cf01"/>
          <w:rFonts w:ascii="Arial" w:hAnsi="Arial" w:cs="Arial"/>
          <w:b/>
          <w:bCs/>
          <w:color w:val="0070C0"/>
          <w:sz w:val="24"/>
          <w:szCs w:val="24"/>
        </w:rPr>
        <w:t xml:space="preserve"> include details if available.]</w:t>
      </w:r>
    </w:p>
    <w:p w14:paraId="0CF449C5" w14:textId="77777777" w:rsidR="0028034E" w:rsidRDefault="0028034E" w:rsidP="795A0D8F">
      <w:pPr>
        <w:rPr>
          <w:rFonts w:eastAsia="Arial" w:cs="Arial"/>
        </w:rPr>
      </w:pPr>
    </w:p>
    <w:p w14:paraId="3EE8B9AC" w14:textId="7FB668D3" w:rsidR="795A0D8F" w:rsidRDefault="576E6A28" w:rsidP="795A0D8F">
      <w:r w:rsidRPr="001873DE">
        <w:rPr>
          <w:rFonts w:eastAsia="Arial" w:cs="Arial"/>
          <w:highlight w:val="yellow"/>
        </w:rPr>
        <w:lastRenderedPageBreak/>
        <w:t>The composition of</w:t>
      </w:r>
      <w:commentRangeStart w:id="25"/>
      <w:r w:rsidRPr="001873DE">
        <w:rPr>
          <w:rFonts w:eastAsia="Arial" w:cs="Arial"/>
          <w:highlight w:val="yellow"/>
        </w:rPr>
        <w:t xml:space="preserve"> incinerator emissions</w:t>
      </w:r>
      <w:commentRangeEnd w:id="25"/>
      <w:r w:rsidRPr="001873DE">
        <w:rPr>
          <w:rStyle w:val="CommentReference"/>
          <w:highlight w:val="yellow"/>
        </w:rPr>
        <w:commentReference w:id="25"/>
      </w:r>
      <w:r w:rsidRPr="001873DE">
        <w:rPr>
          <w:rFonts w:eastAsia="Arial" w:cs="Arial"/>
          <w:highlight w:val="yellow"/>
        </w:rPr>
        <w:t xml:space="preserve"> is complex due to factors including variations in the waste types, </w:t>
      </w:r>
      <w:r w:rsidR="00981BAB">
        <w:rPr>
          <w:rFonts w:eastAsia="Arial" w:cs="Arial"/>
          <w:highlight w:val="yellow"/>
        </w:rPr>
        <w:t xml:space="preserve">the </w:t>
      </w:r>
      <w:r w:rsidRPr="001873DE">
        <w:rPr>
          <w:rFonts w:eastAsia="Arial" w:cs="Arial"/>
          <w:highlight w:val="yellow"/>
        </w:rPr>
        <w:t xml:space="preserve">moisture content, the combustion temperature and completeness of combustion, the feed rates of waste into the incinerator, the stack height, </w:t>
      </w:r>
      <w:r w:rsidR="00981BAB">
        <w:rPr>
          <w:rFonts w:eastAsia="Arial" w:cs="Arial"/>
          <w:highlight w:val="yellow"/>
        </w:rPr>
        <w:t xml:space="preserve">the </w:t>
      </w:r>
      <w:r w:rsidRPr="001873DE">
        <w:rPr>
          <w:rFonts w:eastAsia="Arial" w:cs="Arial"/>
          <w:highlight w:val="yellow"/>
        </w:rPr>
        <w:t xml:space="preserve">emissions control technology, </w:t>
      </w:r>
      <w:r w:rsidR="00981BAB">
        <w:rPr>
          <w:rFonts w:eastAsia="Arial" w:cs="Arial"/>
          <w:highlight w:val="yellow"/>
        </w:rPr>
        <w:t xml:space="preserve">the </w:t>
      </w:r>
      <w:r w:rsidRPr="001873DE">
        <w:rPr>
          <w:rFonts w:eastAsia="Arial" w:cs="Arial"/>
          <w:highlight w:val="yellow"/>
        </w:rPr>
        <w:t>system maintenance, and the local environmental conditions during a burn. The pollutants resulting from incineration can include variable amounts of dioxins and furans, particulate matter, polycyclic aromatic hydrocarbons, unsaturated hydrocarbons, aldehydes, volatile organic compounds, carbon monoxide, hexachlorobenzene, acid gases, metals, etc. Each of these constituents individually or in combination can have varying toxicities and physiologic effects. Components of emissions can also react with other PM and gases from other sources.</w:t>
      </w:r>
    </w:p>
    <w:p w14:paraId="2DC9AEBD" w14:textId="77777777" w:rsidR="00C81CF3" w:rsidRDefault="00C81CF3" w:rsidP="0051520C"/>
    <w:p w14:paraId="2562634C" w14:textId="22AFC393" w:rsidR="00F33F67" w:rsidRPr="00774FF2" w:rsidRDefault="00E50222" w:rsidP="00580B36">
      <w:pPr>
        <w:pStyle w:val="Heading2"/>
        <w:rPr>
          <w:highlight w:val="yellow"/>
        </w:rPr>
      </w:pPr>
      <w:r w:rsidRPr="00774FF2">
        <w:rPr>
          <w:highlight w:val="yellow"/>
        </w:rPr>
        <w:t>Airborne Hazards and Open Burn Pit Registry</w:t>
      </w:r>
    </w:p>
    <w:p w14:paraId="1D86F212" w14:textId="77777777" w:rsidR="00E50222" w:rsidRPr="00774FF2" w:rsidRDefault="00E50222" w:rsidP="00E50222">
      <w:pPr>
        <w:rPr>
          <w:highlight w:val="yellow"/>
        </w:rPr>
      </w:pPr>
    </w:p>
    <w:p w14:paraId="0335999C" w14:textId="1500C8E1" w:rsidR="000B1727" w:rsidRPr="0028034E" w:rsidRDefault="000B1727" w:rsidP="000B1727">
      <w:pPr>
        <w:rPr>
          <w:rFonts w:eastAsia="Arial" w:cs="Arial"/>
          <w:b/>
          <w:bCs/>
          <w:color w:val="0070C0"/>
        </w:rPr>
      </w:pPr>
      <w:r w:rsidRPr="0028034E">
        <w:rPr>
          <w:rFonts w:eastAsia="Arial" w:cs="Arial"/>
          <w:b/>
          <w:bCs/>
          <w:color w:val="0070C0"/>
        </w:rPr>
        <w:t>[</w:t>
      </w:r>
      <w:r w:rsidR="00372259">
        <w:rPr>
          <w:rStyle w:val="cf01"/>
          <w:rFonts w:ascii="Arial" w:hAnsi="Arial" w:cs="Arial"/>
          <w:b/>
          <w:bCs/>
          <w:color w:val="0070C0"/>
          <w:sz w:val="24"/>
          <w:szCs w:val="24"/>
        </w:rPr>
        <w:t xml:space="preserve">If your location </w:t>
      </w:r>
      <w:r w:rsidR="00417458">
        <w:rPr>
          <w:rStyle w:val="cf01"/>
          <w:rFonts w:ascii="Arial" w:hAnsi="Arial" w:cs="Arial"/>
          <w:b/>
          <w:bCs/>
          <w:color w:val="0070C0"/>
          <w:sz w:val="24"/>
          <w:szCs w:val="24"/>
        </w:rPr>
        <w:t>is</w:t>
      </w:r>
      <w:r w:rsidR="001C165D">
        <w:rPr>
          <w:rStyle w:val="cf01"/>
          <w:rFonts w:ascii="Arial" w:hAnsi="Arial" w:cs="Arial"/>
          <w:b/>
          <w:bCs/>
          <w:color w:val="0070C0"/>
          <w:sz w:val="24"/>
          <w:szCs w:val="24"/>
        </w:rPr>
        <w:t xml:space="preserve"> </w:t>
      </w:r>
      <w:commentRangeStart w:id="26"/>
      <w:r w:rsidR="001C165D">
        <w:rPr>
          <w:rStyle w:val="cf01"/>
          <w:rFonts w:ascii="Arial" w:hAnsi="Arial" w:cs="Arial"/>
          <w:b/>
          <w:bCs/>
          <w:color w:val="0070C0"/>
          <w:sz w:val="24"/>
          <w:szCs w:val="24"/>
        </w:rPr>
        <w:t>covered by the AHOBPR</w:t>
      </w:r>
      <w:r w:rsidR="00417458">
        <w:rPr>
          <w:rStyle w:val="cf01"/>
          <w:rFonts w:ascii="Arial" w:hAnsi="Arial" w:cs="Arial"/>
          <w:b/>
          <w:bCs/>
          <w:color w:val="0070C0"/>
          <w:sz w:val="24"/>
          <w:szCs w:val="24"/>
        </w:rPr>
        <w:t xml:space="preserve"> registry</w:t>
      </w:r>
      <w:commentRangeEnd w:id="26"/>
      <w:r w:rsidR="0052329D">
        <w:rPr>
          <w:rStyle w:val="CommentReference"/>
        </w:rPr>
        <w:commentReference w:id="26"/>
      </w:r>
      <w:r w:rsidR="00372259">
        <w:rPr>
          <w:rStyle w:val="cf01"/>
          <w:rFonts w:ascii="Arial" w:hAnsi="Arial" w:cs="Arial"/>
          <w:b/>
          <w:bCs/>
          <w:color w:val="0070C0"/>
          <w:sz w:val="24"/>
          <w:szCs w:val="24"/>
        </w:rPr>
        <w:t>, a</w:t>
      </w:r>
      <w:r w:rsidRPr="0028034E">
        <w:rPr>
          <w:rStyle w:val="cf01"/>
          <w:rFonts w:ascii="Arial" w:hAnsi="Arial" w:cs="Arial"/>
          <w:b/>
          <w:bCs/>
          <w:color w:val="0070C0"/>
          <w:sz w:val="24"/>
          <w:szCs w:val="24"/>
        </w:rPr>
        <w:t>dd this section.]</w:t>
      </w:r>
    </w:p>
    <w:p w14:paraId="79992537" w14:textId="77777777" w:rsidR="000B1727" w:rsidRDefault="000B1727" w:rsidP="00774FF2">
      <w:pPr>
        <w:rPr>
          <w:rFonts w:asciiTheme="majorHAnsi" w:hAnsiTheme="majorHAnsi" w:cstheme="majorHAnsi"/>
          <w:highlight w:val="yellow"/>
        </w:rPr>
      </w:pPr>
    </w:p>
    <w:p w14:paraId="2BDD5B06" w14:textId="798A66FE" w:rsidR="00774FF2" w:rsidRDefault="00774FF2" w:rsidP="00774FF2">
      <w:pPr>
        <w:rPr>
          <w:highlight w:val="yellow"/>
        </w:rPr>
      </w:pPr>
      <w:r w:rsidRPr="00774FF2">
        <w:rPr>
          <w:rFonts w:asciiTheme="majorHAnsi" w:hAnsiTheme="majorHAnsi" w:cstheme="majorHAnsi"/>
          <w:highlight w:val="yellow"/>
        </w:rPr>
        <w:t xml:space="preserve">On 01 August 2024 the </w:t>
      </w:r>
      <w:r w:rsidR="00E56D92" w:rsidRPr="00824A65">
        <w:rPr>
          <w:rFonts w:cs="Arial"/>
          <w:color w:val="2E2E2E"/>
          <w:highlight w:val="yellow"/>
          <w:shd w:val="clear" w:color="auto" w:fill="FFFFFF"/>
        </w:rPr>
        <w:t>Department of Veteran’s Affairs (VA)</w:t>
      </w:r>
      <w:r w:rsidRPr="00774FF2">
        <w:rPr>
          <w:rFonts w:asciiTheme="majorHAnsi" w:hAnsiTheme="majorHAnsi" w:cstheme="majorHAnsi"/>
          <w:highlight w:val="yellow"/>
        </w:rPr>
        <w:t xml:space="preserve"> launched its revised </w:t>
      </w:r>
      <w:r w:rsidR="000D6D30">
        <w:rPr>
          <w:rFonts w:asciiTheme="majorHAnsi" w:hAnsiTheme="majorHAnsi" w:cstheme="majorHAnsi"/>
          <w:highlight w:val="yellow"/>
        </w:rPr>
        <w:t>Airborne Hazards and Open Burn Pit Registry (</w:t>
      </w:r>
      <w:r w:rsidRPr="00774FF2">
        <w:rPr>
          <w:rFonts w:asciiTheme="majorHAnsi" w:hAnsiTheme="majorHAnsi" w:cstheme="majorHAnsi"/>
          <w:highlight w:val="yellow"/>
        </w:rPr>
        <w:t>AHOBPR</w:t>
      </w:r>
      <w:r w:rsidR="00CA6824">
        <w:rPr>
          <w:rFonts w:asciiTheme="majorHAnsi" w:hAnsiTheme="majorHAnsi" w:cstheme="majorHAnsi"/>
          <w:highlight w:val="yellow"/>
        </w:rPr>
        <w:t>) version 2</w:t>
      </w:r>
      <w:r w:rsidR="008331B6">
        <w:rPr>
          <w:rFonts w:asciiTheme="majorHAnsi" w:hAnsiTheme="majorHAnsi" w:cstheme="majorHAnsi"/>
          <w:highlight w:val="yellow"/>
        </w:rPr>
        <w:t>,</w:t>
      </w:r>
      <w:r w:rsidR="00FC0AD9" w:rsidRPr="00CA6824">
        <w:rPr>
          <w:rFonts w:asciiTheme="majorHAnsi" w:hAnsiTheme="majorHAnsi" w:cstheme="majorHAnsi"/>
          <w:highlight w:val="yellow"/>
        </w:rPr>
        <w:t xml:space="preserve"> </w:t>
      </w:r>
      <w:hyperlink r:id="rId18" w:anchor="page/home" w:history="1">
        <w:r w:rsidR="00CA6824" w:rsidRPr="00CA6824">
          <w:rPr>
            <w:rStyle w:val="Hyperlink"/>
            <w:rFonts w:asciiTheme="majorHAnsi" w:hAnsiTheme="majorHAnsi" w:cstheme="majorHAnsi"/>
            <w:highlight w:val="yellow"/>
          </w:rPr>
          <w:t>https://veteran.mobilehealth.va.gov/AHBurnPitRegistry/index.html#page/home</w:t>
        </w:r>
      </w:hyperlink>
      <w:r w:rsidRPr="00774FF2">
        <w:rPr>
          <w:rFonts w:asciiTheme="majorHAnsi" w:hAnsiTheme="majorHAnsi" w:cstheme="majorHAnsi"/>
          <w:highlight w:val="yellow"/>
        </w:rPr>
        <w:t>),</w:t>
      </w:r>
      <w:r w:rsidR="008331B6">
        <w:rPr>
          <w:rFonts w:asciiTheme="majorHAnsi" w:hAnsiTheme="majorHAnsi" w:cstheme="majorHAnsi"/>
          <w:highlight w:val="yellow"/>
        </w:rPr>
        <w:t xml:space="preserve"> </w:t>
      </w:r>
      <w:r w:rsidRPr="00774FF2">
        <w:rPr>
          <w:rFonts w:asciiTheme="majorHAnsi" w:hAnsiTheme="majorHAnsi" w:cstheme="majorHAnsi"/>
          <w:highlight w:val="yellow"/>
        </w:rPr>
        <w:t>that expands participation criteria and automatically enrolls participants from certain U.S. military operations and campaigns from 1990 to present as directed by legislation. The Registry automatically enrolls eligible veterans and service members based on DoD records and includes all personnel already enrolled in the original Registry. Enrollment data are limited to deployment locations, military personnel information, and demographics (</w:t>
      </w:r>
      <w:r w:rsidR="00B378E8">
        <w:rPr>
          <w:rFonts w:asciiTheme="majorHAnsi" w:hAnsiTheme="majorHAnsi" w:cstheme="majorHAnsi"/>
          <w:highlight w:val="yellow"/>
        </w:rPr>
        <w:t>sex</w:t>
      </w:r>
      <w:r w:rsidRPr="00774FF2">
        <w:rPr>
          <w:rFonts w:asciiTheme="majorHAnsi" w:hAnsiTheme="majorHAnsi" w:cstheme="majorHAnsi"/>
          <w:highlight w:val="yellow"/>
        </w:rPr>
        <w:t xml:space="preserve">, race, ethnicity). No medical information will be stored in the Registry. The Registry is more user friendly, and a short form has replaced the Registry questionnaire for manually requesting an eligibility review. The AHOBPR provides a simple opt-out process for veterans and service members that electively choose to not be included. </w:t>
      </w:r>
      <w:r w:rsidRPr="00774FF2">
        <w:rPr>
          <w:highlight w:val="yellow"/>
        </w:rPr>
        <w:t>The purpose of the Registry is to combine veteran and service member data to help the VA better understand the potential health effects from exposure to airborne hazards, support ongoing research, and ultimately improve treatment for the health challenges facing veterans exposed to airborne hazards and burn pits during their military service.</w:t>
      </w:r>
    </w:p>
    <w:p w14:paraId="37F1634B" w14:textId="77777777" w:rsidR="00306D1A" w:rsidRDefault="00306D1A" w:rsidP="00774FF2">
      <w:pPr>
        <w:rPr>
          <w:highlight w:val="yellow"/>
        </w:rPr>
      </w:pPr>
    </w:p>
    <w:p w14:paraId="5223BD0A" w14:textId="2E256F09" w:rsidR="00306D1A" w:rsidRPr="00BE7008" w:rsidRDefault="00306D1A" w:rsidP="00306D1A">
      <w:pPr>
        <w:rPr>
          <w:rFonts w:cs="Arial"/>
          <w:color w:val="2E2E2E"/>
          <w:shd w:val="clear" w:color="auto" w:fill="FFFFFF"/>
        </w:rPr>
      </w:pPr>
      <w:r w:rsidRPr="00824A65">
        <w:rPr>
          <w:rFonts w:cs="Arial"/>
          <w:color w:val="2E2E2E"/>
          <w:highlight w:val="yellow"/>
          <w:shd w:val="clear" w:color="auto" w:fill="FFFFFF"/>
        </w:rPr>
        <w:t xml:space="preserve">The Defense Health Agency in concert with the VA will provide medical exams when there are symptoms that are either suggestive of past </w:t>
      </w:r>
      <w:r w:rsidRPr="00774FF2">
        <w:rPr>
          <w:highlight w:val="yellow"/>
        </w:rPr>
        <w:t>AHOBPR</w:t>
      </w:r>
      <w:r w:rsidRPr="00824A65">
        <w:rPr>
          <w:rFonts w:cs="Arial"/>
          <w:color w:val="2E2E2E"/>
          <w:highlight w:val="yellow"/>
          <w:shd w:val="clear" w:color="auto" w:fill="FFFFFF"/>
        </w:rPr>
        <w:t xml:space="preserve"> environmental exposures or when the provider has a clinical concern. Exposed individuals are eligible for DoD and/or VA care for 23 presumptive medical conditions per the Sergeant First Class Heath Robinson Honoring our Promise to Address Comprehensive Toxics Act of 2022 (PACT Act).</w:t>
      </w:r>
    </w:p>
    <w:p w14:paraId="65F9D2C3" w14:textId="77777777" w:rsidR="00774FF2" w:rsidRPr="00774FF2" w:rsidRDefault="00774FF2" w:rsidP="00774FF2">
      <w:pPr>
        <w:rPr>
          <w:highlight w:val="yellow"/>
        </w:rPr>
      </w:pPr>
    </w:p>
    <w:p w14:paraId="3C177E06" w14:textId="77777777" w:rsidR="00774FF2" w:rsidRDefault="00774FF2" w:rsidP="00774FF2">
      <w:r w:rsidRPr="00774FF2">
        <w:rPr>
          <w:highlight w:val="yellow"/>
        </w:rPr>
        <w:t>The VA website (</w:t>
      </w:r>
      <w:hyperlink r:id="rId19" w:history="1">
        <w:r w:rsidRPr="00774FF2">
          <w:rPr>
            <w:rStyle w:val="Hyperlink"/>
            <w:color w:val="0070C0"/>
            <w:highlight w:val="yellow"/>
          </w:rPr>
          <w:t>https://www.publichealth.va.gov/exposures/burnpits/index.asp</w:t>
        </w:r>
      </w:hyperlink>
      <w:r w:rsidRPr="00774FF2">
        <w:rPr>
          <w:highlight w:val="yellow"/>
        </w:rPr>
        <w:t>) provides airborne hazards and burn pit exposure information including presumptive conditions, a map of eligible countries, and information about the AHOBPR. The DoD provides additional information as it relates to the AHOBPR on its website (</w:t>
      </w:r>
      <w:hyperlink r:id="rId20" w:history="1">
        <w:r w:rsidRPr="00774FF2">
          <w:rPr>
            <w:rStyle w:val="Hyperlink"/>
            <w:color w:val="0070C0"/>
            <w:highlight w:val="yellow"/>
          </w:rPr>
          <w:t>https://www.health.mil/Military-Health-Topics/Health-Readiness/Environmental-Exposures/VA-Airborne-Hazards-and-Open-Burn-Pit-Registry</w:t>
        </w:r>
      </w:hyperlink>
      <w:r w:rsidRPr="00774FF2">
        <w:rPr>
          <w:highlight w:val="yellow"/>
        </w:rPr>
        <w:t>).</w:t>
      </w:r>
    </w:p>
    <w:p w14:paraId="2D7CC540" w14:textId="77777777" w:rsidR="00143181" w:rsidRDefault="00143181" w:rsidP="00774FF2"/>
    <w:p w14:paraId="149912B9" w14:textId="529DAC37" w:rsidR="00143181" w:rsidRDefault="00BE7008" w:rsidP="00774FF2">
      <w:pPr>
        <w:rPr>
          <w:rFonts w:cs="Arial"/>
          <w:color w:val="2E2E2E"/>
          <w:shd w:val="clear" w:color="auto" w:fill="FFFFFF"/>
        </w:rPr>
      </w:pPr>
      <w:r w:rsidRPr="00BE7008">
        <w:rPr>
          <w:rFonts w:cs="Arial"/>
          <w:color w:val="2E2E2E"/>
          <w:highlight w:val="yellow"/>
          <w:shd w:val="clear" w:color="auto" w:fill="FFFFFF"/>
        </w:rPr>
        <w:t xml:space="preserve">In 2013, Congress directed the VA to establish and maintain the AHOBPR to </w:t>
      </w:r>
      <w:r w:rsidRPr="00BE7008">
        <w:rPr>
          <w:rFonts w:asciiTheme="majorHAnsi" w:hAnsiTheme="majorHAnsi" w:cstheme="majorHAnsi"/>
          <w:highlight w:val="yellow"/>
        </w:rPr>
        <w:t xml:space="preserve">help service members and veterans document potential exposure to airborne hazards and open burn pit </w:t>
      </w:r>
      <w:r w:rsidRPr="00BE7008">
        <w:rPr>
          <w:rFonts w:asciiTheme="majorHAnsi" w:hAnsiTheme="majorHAnsi" w:cstheme="majorHAnsi"/>
          <w:highlight w:val="yellow"/>
        </w:rPr>
        <w:lastRenderedPageBreak/>
        <w:t xml:space="preserve">toxicants while deployed to certain locations supporting specific operations. </w:t>
      </w:r>
      <w:r w:rsidRPr="00BE7008">
        <w:rPr>
          <w:rFonts w:cs="Arial"/>
          <w:color w:val="2E2E2E"/>
          <w:highlight w:val="yellow"/>
          <w:shd w:val="clear" w:color="auto" w:fill="FFFFFF"/>
        </w:rPr>
        <w:t xml:space="preserve">In February 2017, </w:t>
      </w:r>
      <w:r w:rsidR="005838F7" w:rsidRPr="005838F7">
        <w:rPr>
          <w:rFonts w:cs="Arial"/>
          <w:color w:val="2E2E2E"/>
          <w:highlight w:val="yellow"/>
          <w:shd w:val="clear" w:color="auto" w:fill="FFFFFF"/>
        </w:rPr>
        <w:t>the National Academies of Sciences, Engineering, and Medicine (NASEM)</w:t>
      </w:r>
      <w:r w:rsidRPr="005838F7">
        <w:rPr>
          <w:rFonts w:cs="Arial"/>
          <w:color w:val="2E2E2E"/>
          <w:highlight w:val="yellow"/>
          <w:shd w:val="clear" w:color="auto" w:fill="FFFFFF"/>
        </w:rPr>
        <w:t xml:space="preserve"> </w:t>
      </w:r>
      <w:r w:rsidRPr="00BE7008">
        <w:rPr>
          <w:rFonts w:cs="Arial"/>
          <w:color w:val="2E2E2E"/>
          <w:highlight w:val="yellow"/>
          <w:shd w:val="clear" w:color="auto" w:fill="FFFFFF"/>
        </w:rPr>
        <w:t>published the Assessment of the Department of Veterans Affairs Airborne Hazards and Open Burn Pit Registry which offered an initial assessment of the registry, analysis of the data collected in the first year, and recommendations for improvements (</w:t>
      </w:r>
      <w:commentRangeStart w:id="27"/>
      <w:r w:rsidRPr="00BE7008">
        <w:rPr>
          <w:rFonts w:cs="Arial"/>
          <w:color w:val="2E2E2E"/>
          <w:highlight w:val="yellow"/>
          <w:shd w:val="clear" w:color="auto" w:fill="FFFFFF"/>
        </w:rPr>
        <w:t>Reference</w:t>
      </w:r>
      <w:commentRangeEnd w:id="27"/>
      <w:r w:rsidR="00915A9B">
        <w:rPr>
          <w:rStyle w:val="CommentReference"/>
        </w:rPr>
        <w:commentReference w:id="27"/>
      </w:r>
      <w:r w:rsidRPr="00BE7008">
        <w:rPr>
          <w:rFonts w:cs="Arial"/>
          <w:color w:val="2E2E2E"/>
          <w:highlight w:val="yellow"/>
          <w:shd w:val="clear" w:color="auto" w:fill="FFFFFF"/>
        </w:rPr>
        <w:t xml:space="preserve"> XX). In 2022, NASEM published the Reassessment of the Department of Veterans Affairs Airborne Hazards and Open Burn Pit Registry (Reference XX) which assessed the ability of the registry to fulfill its intended purposes that Congress and VA had specified for it.</w:t>
      </w:r>
    </w:p>
    <w:p w14:paraId="1B04E5FA" w14:textId="77777777" w:rsidR="00E50222" w:rsidRPr="00E50222" w:rsidRDefault="00E50222" w:rsidP="00E50222"/>
    <w:p w14:paraId="61D027E9" w14:textId="01AEAE53" w:rsidR="00973916" w:rsidRPr="00FD4769" w:rsidRDefault="00051E93" w:rsidP="00580B36">
      <w:pPr>
        <w:pStyle w:val="Heading2"/>
      </w:pPr>
      <w:r w:rsidRPr="00FD4769">
        <w:t>Air Data Collection Methods</w:t>
      </w:r>
    </w:p>
    <w:p w14:paraId="478924A5" w14:textId="40B9B35C" w:rsidR="00832750" w:rsidRDefault="00832750" w:rsidP="00832750">
      <w:pPr>
        <w:rPr>
          <w:highlight w:val="yellow"/>
        </w:rPr>
      </w:pPr>
    </w:p>
    <w:p w14:paraId="2F22B3EE" w14:textId="0CB03B76" w:rsidR="009B0392" w:rsidRPr="00FB7D22" w:rsidRDefault="00924E06" w:rsidP="009B0392">
      <w:pPr>
        <w:pStyle w:val="Heading3"/>
        <w:rPr>
          <w:highlight w:val="yellow"/>
        </w:rPr>
      </w:pPr>
      <w:r w:rsidRPr="00FB7D22">
        <w:rPr>
          <w:highlight w:val="yellow"/>
        </w:rPr>
        <w:t>Sa</w:t>
      </w:r>
      <w:r w:rsidR="009B0392" w:rsidRPr="00FB7D22">
        <w:rPr>
          <w:highlight w:val="yellow"/>
        </w:rPr>
        <w:t xml:space="preserve">mpling </w:t>
      </w:r>
      <w:r w:rsidR="000D09F5" w:rsidRPr="00FB7D22">
        <w:rPr>
          <w:highlight w:val="yellow"/>
        </w:rPr>
        <w:t>Methods</w:t>
      </w:r>
    </w:p>
    <w:p w14:paraId="77CA17EC" w14:textId="3C00F447" w:rsidR="00176E10" w:rsidRDefault="00176E10" w:rsidP="009B0392">
      <w:pPr>
        <w:rPr>
          <w:highlight w:val="yellow"/>
        </w:rPr>
      </w:pPr>
    </w:p>
    <w:p w14:paraId="66B1FB1F" w14:textId="2DC88D47" w:rsidR="00580B36" w:rsidRPr="00580B36" w:rsidRDefault="00580B36" w:rsidP="009B0392">
      <w:pPr>
        <w:rPr>
          <w:rFonts w:cs="Arial"/>
          <w:b/>
          <w:bCs/>
          <w:color w:val="0070C0"/>
          <w:highlight w:val="yellow"/>
        </w:rPr>
      </w:pPr>
      <w:r w:rsidRPr="00A23AB4">
        <w:rPr>
          <w:rFonts w:cs="Arial"/>
          <w:b/>
          <w:bCs/>
          <w:color w:val="0070C0"/>
        </w:rPr>
        <w:t>[</w:t>
      </w:r>
      <w:r w:rsidRPr="00580B36">
        <w:rPr>
          <w:rStyle w:val="cf01"/>
          <w:rFonts w:ascii="Arial" w:hAnsi="Arial" w:cs="Arial"/>
          <w:b/>
          <w:bCs/>
          <w:color w:val="0070C0"/>
          <w:sz w:val="24"/>
          <w:szCs w:val="24"/>
        </w:rPr>
        <w:t>Describe sampling efforts here</w:t>
      </w:r>
      <w:r w:rsidR="00A23AB4">
        <w:rPr>
          <w:rStyle w:val="cf01"/>
          <w:rFonts w:ascii="Arial" w:hAnsi="Arial" w:cs="Arial"/>
          <w:b/>
          <w:bCs/>
          <w:color w:val="0070C0"/>
          <w:sz w:val="24"/>
          <w:szCs w:val="24"/>
        </w:rPr>
        <w:t xml:space="preserve"> </w:t>
      </w:r>
      <w:r w:rsidRPr="00580B36">
        <w:rPr>
          <w:rStyle w:val="cf01"/>
          <w:rFonts w:ascii="Arial" w:hAnsi="Arial" w:cs="Arial"/>
          <w:b/>
          <w:bCs/>
          <w:color w:val="0070C0"/>
          <w:sz w:val="24"/>
          <w:szCs w:val="24"/>
        </w:rPr>
        <w:t>to separate them from the modeled concentrations. Add and/or delete content as needed for your specific POEMS.]</w:t>
      </w:r>
    </w:p>
    <w:p w14:paraId="59D0E4E5" w14:textId="77777777" w:rsidR="00580B36" w:rsidRDefault="00580B36" w:rsidP="009B0392">
      <w:pPr>
        <w:rPr>
          <w:highlight w:val="yellow"/>
        </w:rPr>
      </w:pPr>
    </w:p>
    <w:p w14:paraId="0BA80FE1" w14:textId="4ED47D04" w:rsidR="00176E10" w:rsidRPr="009B0392" w:rsidRDefault="00176E10" w:rsidP="009B0392">
      <w:pPr>
        <w:rPr>
          <w:highlight w:val="yellow"/>
        </w:rPr>
      </w:pPr>
      <w:r w:rsidRPr="00FB7D22">
        <w:rPr>
          <w:highlight w:val="yellow"/>
        </w:rPr>
        <w:t>A</w:t>
      </w:r>
      <w:r w:rsidR="00924E06" w:rsidRPr="00FB7D22">
        <w:rPr>
          <w:highlight w:val="yellow"/>
        </w:rPr>
        <w:t>mbient a</w:t>
      </w:r>
      <w:r w:rsidRPr="00FB7D22">
        <w:rPr>
          <w:highlight w:val="yellow"/>
        </w:rPr>
        <w:t xml:space="preserve">ir samples were typically collected from points considered to be in areas representative of the ambient air to which personnel were exposed. These </w:t>
      </w:r>
      <w:r w:rsidR="00924E06" w:rsidRPr="00FB7D22">
        <w:rPr>
          <w:highlight w:val="yellow"/>
        </w:rPr>
        <w:t xml:space="preserve">samples </w:t>
      </w:r>
      <w:r w:rsidRPr="00FB7D22">
        <w:rPr>
          <w:highlight w:val="yellow"/>
        </w:rPr>
        <w:t>were collected over a 24-hour period and the results represent the average concentration over that collection period</w:t>
      </w:r>
      <w:r w:rsidR="00924E06" w:rsidRPr="00FB7D22">
        <w:rPr>
          <w:highlight w:val="yellow"/>
        </w:rPr>
        <w:t xml:space="preserve"> (e.g., a sample concentration of 20 </w:t>
      </w:r>
      <w:r w:rsidR="00924E06" w:rsidRPr="00FB7D22">
        <w:rPr>
          <w:rFonts w:cs="Arial"/>
          <w:highlight w:val="yellow"/>
        </w:rPr>
        <w:t>µ</w:t>
      </w:r>
      <w:r w:rsidR="00924E06" w:rsidRPr="00FB7D22">
        <w:rPr>
          <w:highlight w:val="yellow"/>
        </w:rPr>
        <w:t>g/m</w:t>
      </w:r>
      <w:r w:rsidR="00924E06" w:rsidRPr="00FB7D22">
        <w:rPr>
          <w:highlight w:val="yellow"/>
          <w:vertAlign w:val="superscript"/>
        </w:rPr>
        <w:t>3</w:t>
      </w:r>
      <w:r w:rsidR="00924E06" w:rsidRPr="00FB7D22">
        <w:rPr>
          <w:highlight w:val="yellow"/>
        </w:rPr>
        <w:t xml:space="preserve"> applies to the 24 hours overall, not to any </w:t>
      </w:r>
      <w:proofErr w:type="gramStart"/>
      <w:r w:rsidR="00924E06" w:rsidRPr="00FB7D22">
        <w:rPr>
          <w:highlight w:val="yellow"/>
        </w:rPr>
        <w:t>particular time</w:t>
      </w:r>
      <w:proofErr w:type="gramEnd"/>
      <w:r w:rsidR="00924E06" w:rsidRPr="00FB7D22">
        <w:rPr>
          <w:highlight w:val="yellow"/>
        </w:rPr>
        <w:t xml:space="preserve"> during those hours)</w:t>
      </w:r>
      <w:r w:rsidRPr="00FB7D22">
        <w:rPr>
          <w:highlight w:val="yellow"/>
        </w:rPr>
        <w:t xml:space="preserve">. Sampled parameters included </w:t>
      </w:r>
      <w:r>
        <w:rPr>
          <w:highlight w:val="yellow"/>
        </w:rPr>
        <w:t xml:space="preserve">PM and </w:t>
      </w:r>
      <w:r w:rsidR="00981BAB">
        <w:rPr>
          <w:highlight w:val="yellow"/>
        </w:rPr>
        <w:t xml:space="preserve">10 </w:t>
      </w:r>
      <w:r>
        <w:rPr>
          <w:highlight w:val="yellow"/>
        </w:rPr>
        <w:t xml:space="preserve">associated metals, collected on quartz fiber filters; </w:t>
      </w:r>
      <w:r w:rsidR="00924E06">
        <w:rPr>
          <w:highlight w:val="yellow"/>
        </w:rPr>
        <w:t xml:space="preserve">volatile organic compounds (VOCs), collected in stainless steel canisters; </w:t>
      </w:r>
      <w:r w:rsidR="001D4E53">
        <w:rPr>
          <w:highlight w:val="yellow"/>
        </w:rPr>
        <w:t xml:space="preserve">dioxin-like compounds, collected on </w:t>
      </w:r>
      <w:r w:rsidR="0002144D">
        <w:rPr>
          <w:highlight w:val="yellow"/>
        </w:rPr>
        <w:t>quartz fiber filters and polyurethane foam cartridges; and polycyclic aromatic hydrocarbons (PAH), collected on quartz fiber filters and resin-filled cartridges.</w:t>
      </w:r>
    </w:p>
    <w:p w14:paraId="58380E60" w14:textId="77777777" w:rsidR="009B0392" w:rsidRDefault="009B0392" w:rsidP="00832750">
      <w:pPr>
        <w:rPr>
          <w:highlight w:val="yellow"/>
        </w:rPr>
      </w:pPr>
    </w:p>
    <w:p w14:paraId="164BAA1B" w14:textId="43C9FB3D" w:rsidR="00F93D41" w:rsidRPr="00FD4769" w:rsidRDefault="00F93D41" w:rsidP="00FD4769">
      <w:pPr>
        <w:pStyle w:val="Heading3"/>
        <w:rPr>
          <w:highlight w:val="yellow"/>
        </w:rPr>
      </w:pPr>
      <w:r w:rsidRPr="00FD4769">
        <w:rPr>
          <w:highlight w:val="yellow"/>
        </w:rPr>
        <w:t xml:space="preserve">GEOS-CF </w:t>
      </w:r>
      <w:r w:rsidR="000D09F5" w:rsidRPr="00FD4769">
        <w:rPr>
          <w:highlight w:val="yellow"/>
        </w:rPr>
        <w:t>Modeled Concentrations</w:t>
      </w:r>
    </w:p>
    <w:p w14:paraId="10EC2033" w14:textId="77777777" w:rsidR="00851846" w:rsidRDefault="00851846" w:rsidP="0051520C">
      <w:pPr>
        <w:rPr>
          <w:rFonts w:eastAsia="Calibri"/>
          <w:highlight w:val="yellow"/>
        </w:rPr>
      </w:pPr>
    </w:p>
    <w:p w14:paraId="1E7CC8B9" w14:textId="267FE3C3" w:rsidR="00F93D41" w:rsidRDefault="00F93D41" w:rsidP="0051520C">
      <w:pPr>
        <w:rPr>
          <w:szCs w:val="22"/>
        </w:rPr>
      </w:pPr>
      <w:r w:rsidRPr="00F93D41">
        <w:rPr>
          <w:rFonts w:eastAsia="Calibri"/>
          <w:highlight w:val="yellow"/>
        </w:rPr>
        <w:t>The Global Modeling and Assimilation Office (GMAO) of the National Aeronautics and Space Administration (NASA) utilizes the GEOS-CF model for applications involving physical, chemical</w:t>
      </w:r>
      <w:r w:rsidR="00B2376B">
        <w:rPr>
          <w:rFonts w:eastAsia="Calibri"/>
          <w:highlight w:val="yellow"/>
        </w:rPr>
        <w:t>,</w:t>
      </w:r>
      <w:r w:rsidRPr="00F93D41">
        <w:rPr>
          <w:rFonts w:eastAsia="Calibri"/>
          <w:highlight w:val="yellow"/>
        </w:rPr>
        <w:t xml:space="preserve"> and biological processes. One of the unique applications of the GEOS-CF model is its ability to calculate air pollution conditions anywhere in the world. This is done by combining physical knowledge about pollutant emissions, chemical transformation, atmospheric transport and deposition, and meteorology with real-time observations from both satellites and surface observations. </w:t>
      </w:r>
      <w:r w:rsidRPr="00F93D41">
        <w:rPr>
          <w:szCs w:val="22"/>
          <w:highlight w:val="yellow"/>
        </w:rPr>
        <w:t xml:space="preserve">The </w:t>
      </w:r>
      <w:r w:rsidR="00B14D70">
        <w:rPr>
          <w:szCs w:val="22"/>
          <w:highlight w:val="yellow"/>
        </w:rPr>
        <w:t>modeled</w:t>
      </w:r>
      <w:r w:rsidRPr="00F93D41">
        <w:rPr>
          <w:szCs w:val="22"/>
          <w:highlight w:val="yellow"/>
        </w:rPr>
        <w:t xml:space="preserve"> data consists of hourly concentration information for </w:t>
      </w:r>
      <w:r w:rsidR="00031F46" w:rsidRPr="00F93D41">
        <w:rPr>
          <w:rFonts w:eastAsia="Calibri"/>
          <w:highlight w:val="yellow"/>
        </w:rPr>
        <w:t>PM</w:t>
      </w:r>
      <w:r w:rsidR="00031F46" w:rsidRPr="00424231">
        <w:rPr>
          <w:rStyle w:val="StyleSubscript"/>
          <w:rFonts w:eastAsia="Calibri"/>
          <w:highlight w:val="yellow"/>
        </w:rPr>
        <w:t>2.5</w:t>
      </w:r>
      <w:r w:rsidR="00031F46" w:rsidRPr="00F93D41">
        <w:rPr>
          <w:rFonts w:eastAsia="Calibri"/>
          <w:highlight w:val="yellow"/>
        </w:rPr>
        <w:t>, NO</w:t>
      </w:r>
      <w:r w:rsidR="00031F46" w:rsidRPr="00424231">
        <w:rPr>
          <w:rStyle w:val="StyleSubscript"/>
          <w:rFonts w:eastAsia="Calibri"/>
          <w:highlight w:val="yellow"/>
        </w:rPr>
        <w:t>2</w:t>
      </w:r>
      <w:r w:rsidR="004009B4">
        <w:rPr>
          <w:rFonts w:eastAsia="Calibri"/>
          <w:highlight w:val="yellow"/>
        </w:rPr>
        <w:t xml:space="preserve">, </w:t>
      </w:r>
      <w:r w:rsidR="00031F46" w:rsidRPr="00F93D41">
        <w:rPr>
          <w:rFonts w:eastAsia="Calibri"/>
          <w:highlight w:val="yellow"/>
        </w:rPr>
        <w:t>and O</w:t>
      </w:r>
      <w:r w:rsidR="00031F46" w:rsidRPr="00424231">
        <w:rPr>
          <w:rStyle w:val="StyleSubscript"/>
          <w:rFonts w:eastAsia="Calibri"/>
          <w:highlight w:val="yellow"/>
        </w:rPr>
        <w:t>3</w:t>
      </w:r>
      <w:r w:rsidRPr="00F93D41">
        <w:rPr>
          <w:szCs w:val="22"/>
          <w:highlight w:val="yellow"/>
        </w:rPr>
        <w:t xml:space="preserve">. </w:t>
      </w:r>
      <w:r w:rsidRPr="00F93D41">
        <w:rPr>
          <w:rFonts w:eastAsia="Calibri"/>
          <w:highlight w:val="yellow"/>
        </w:rPr>
        <w:t>The estimate of surface concentration</w:t>
      </w:r>
      <w:r w:rsidR="00FF30EC">
        <w:rPr>
          <w:rFonts w:eastAsia="Calibri"/>
          <w:highlight w:val="yellow"/>
        </w:rPr>
        <w:t>s</w:t>
      </w:r>
      <w:r w:rsidRPr="00F93D41">
        <w:rPr>
          <w:rFonts w:eastAsia="Calibri"/>
          <w:highlight w:val="yellow"/>
        </w:rPr>
        <w:t xml:space="preserve"> is an average over a </w:t>
      </w:r>
      <w:proofErr w:type="gramStart"/>
      <w:r w:rsidRPr="00F93D41">
        <w:rPr>
          <w:rFonts w:eastAsia="Calibri"/>
          <w:highlight w:val="yellow"/>
        </w:rPr>
        <w:t>25</w:t>
      </w:r>
      <w:r w:rsidR="00BD2C8E">
        <w:rPr>
          <w:rFonts w:eastAsia="Calibri"/>
          <w:highlight w:val="yellow"/>
        </w:rPr>
        <w:t xml:space="preserve"> </w:t>
      </w:r>
      <w:r w:rsidR="00C70EC9">
        <w:rPr>
          <w:rFonts w:eastAsia="Calibri"/>
          <w:highlight w:val="yellow"/>
        </w:rPr>
        <w:t>kilometer</w:t>
      </w:r>
      <w:proofErr w:type="gramEnd"/>
      <w:r w:rsidR="00C70EC9">
        <w:rPr>
          <w:rFonts w:eastAsia="Calibri"/>
          <w:highlight w:val="yellow"/>
        </w:rPr>
        <w:t xml:space="preserve"> </w:t>
      </w:r>
      <w:r w:rsidRPr="00F93D41">
        <w:rPr>
          <w:rFonts w:eastAsia="Calibri"/>
          <w:highlight w:val="yellow"/>
        </w:rPr>
        <w:t>x</w:t>
      </w:r>
      <w:r w:rsidR="00BD2C8E">
        <w:rPr>
          <w:rFonts w:eastAsia="Calibri"/>
          <w:highlight w:val="yellow"/>
        </w:rPr>
        <w:t xml:space="preserve"> </w:t>
      </w:r>
      <w:r w:rsidRPr="00F93D41">
        <w:rPr>
          <w:rFonts w:eastAsia="Calibri"/>
          <w:highlight w:val="yellow"/>
        </w:rPr>
        <w:t>25 k</w:t>
      </w:r>
      <w:r w:rsidR="004D7AAB">
        <w:rPr>
          <w:rFonts w:eastAsia="Calibri"/>
          <w:highlight w:val="yellow"/>
        </w:rPr>
        <w:t>ilo</w:t>
      </w:r>
      <w:r w:rsidRPr="00F93D41">
        <w:rPr>
          <w:rFonts w:eastAsia="Calibri"/>
          <w:highlight w:val="yellow"/>
        </w:rPr>
        <w:t>m</w:t>
      </w:r>
      <w:r w:rsidR="004D7AAB">
        <w:rPr>
          <w:rFonts w:eastAsia="Calibri"/>
          <w:highlight w:val="yellow"/>
        </w:rPr>
        <w:t>eter</w:t>
      </w:r>
      <w:r w:rsidRPr="00F93D41">
        <w:rPr>
          <w:rFonts w:eastAsia="Calibri"/>
          <w:highlight w:val="yellow"/>
        </w:rPr>
        <w:t xml:space="preserve"> grid in the lowest 130 m</w:t>
      </w:r>
      <w:r w:rsidR="004D7AAB">
        <w:rPr>
          <w:rFonts w:eastAsia="Calibri"/>
          <w:highlight w:val="yellow"/>
        </w:rPr>
        <w:t>eters</w:t>
      </w:r>
      <w:r w:rsidRPr="00F93D41">
        <w:rPr>
          <w:rFonts w:eastAsia="Calibri"/>
          <w:highlight w:val="yellow"/>
        </w:rPr>
        <w:t xml:space="preserve"> of the atmosphere (Reference </w:t>
      </w:r>
      <w:r>
        <w:rPr>
          <w:rFonts w:eastAsia="Calibri"/>
          <w:highlight w:val="yellow"/>
        </w:rPr>
        <w:t>XX</w:t>
      </w:r>
      <w:r w:rsidRPr="00F93D41">
        <w:rPr>
          <w:rFonts w:eastAsia="Calibri"/>
          <w:highlight w:val="yellow"/>
        </w:rPr>
        <w:t xml:space="preserve">). </w:t>
      </w:r>
      <w:r w:rsidR="001A14C7">
        <w:rPr>
          <w:rFonts w:eastAsia="Calibri"/>
          <w:highlight w:val="yellow"/>
        </w:rPr>
        <w:t xml:space="preserve">The model assumes a well-mixed homogenous atmosphere both horizontally and vertically within the modeled space. </w:t>
      </w:r>
      <w:r w:rsidRPr="00F93D41">
        <w:rPr>
          <w:rFonts w:eastAsia="Calibri"/>
          <w:highlight w:val="yellow"/>
        </w:rPr>
        <w:t>The risk assessment discussion below incorporate</w:t>
      </w:r>
      <w:r w:rsidR="001A14C7">
        <w:rPr>
          <w:rFonts w:eastAsia="Calibri"/>
          <w:highlight w:val="yellow"/>
        </w:rPr>
        <w:t>s</w:t>
      </w:r>
      <w:r w:rsidRPr="00F93D41">
        <w:rPr>
          <w:rFonts w:eastAsia="Calibri"/>
          <w:highlight w:val="yellow"/>
        </w:rPr>
        <w:t xml:space="preserve"> the GEOS-CF </w:t>
      </w:r>
      <w:r w:rsidR="00B14D70">
        <w:rPr>
          <w:rFonts w:eastAsia="Calibri"/>
          <w:highlight w:val="yellow"/>
        </w:rPr>
        <w:t>modeled</w:t>
      </w:r>
      <w:r w:rsidRPr="00F93D41">
        <w:rPr>
          <w:rFonts w:eastAsia="Calibri"/>
          <w:highlight w:val="yellow"/>
        </w:rPr>
        <w:t xml:space="preserve"> data for PM</w:t>
      </w:r>
      <w:r w:rsidRPr="00424231">
        <w:rPr>
          <w:rStyle w:val="StyleSubscript"/>
          <w:rFonts w:eastAsia="Calibri"/>
          <w:highlight w:val="yellow"/>
        </w:rPr>
        <w:t>2.5</w:t>
      </w:r>
      <w:r w:rsidRPr="00F93D41">
        <w:rPr>
          <w:rFonts w:eastAsia="Calibri"/>
          <w:highlight w:val="yellow"/>
        </w:rPr>
        <w:t>, NO</w:t>
      </w:r>
      <w:r w:rsidRPr="00424231">
        <w:rPr>
          <w:rStyle w:val="StyleSubscript"/>
          <w:rFonts w:eastAsia="Calibri"/>
          <w:highlight w:val="yellow"/>
        </w:rPr>
        <w:t>2</w:t>
      </w:r>
      <w:r w:rsidR="004009B4">
        <w:rPr>
          <w:rFonts w:eastAsia="Calibri"/>
          <w:highlight w:val="yellow"/>
        </w:rPr>
        <w:t xml:space="preserve">, </w:t>
      </w:r>
      <w:r w:rsidRPr="00F93D41">
        <w:rPr>
          <w:rFonts w:eastAsia="Calibri"/>
          <w:highlight w:val="yellow"/>
        </w:rPr>
        <w:t>and O</w:t>
      </w:r>
      <w:r w:rsidRPr="00424231">
        <w:rPr>
          <w:rStyle w:val="StyleSubscript"/>
          <w:rFonts w:eastAsia="Calibri"/>
          <w:highlight w:val="yellow"/>
        </w:rPr>
        <w:t>3</w:t>
      </w:r>
      <w:r w:rsidRPr="00F93D41">
        <w:rPr>
          <w:rFonts w:eastAsia="Calibri"/>
          <w:highlight w:val="yellow"/>
        </w:rPr>
        <w:t>.</w:t>
      </w:r>
    </w:p>
    <w:p w14:paraId="5F9074F2" w14:textId="77777777" w:rsidR="00F93D41" w:rsidRPr="00F83550" w:rsidRDefault="00F93D41" w:rsidP="0051520C"/>
    <w:p w14:paraId="5B26BD80" w14:textId="4797F1B1" w:rsidR="00970391" w:rsidRPr="00F83550" w:rsidRDefault="00970391" w:rsidP="00580B36">
      <w:pPr>
        <w:pStyle w:val="Heading2"/>
      </w:pPr>
      <w:r w:rsidRPr="00F83550">
        <w:t>Site-Specific Sources Identified</w:t>
      </w:r>
    </w:p>
    <w:p w14:paraId="4CB1D327" w14:textId="77777777" w:rsidR="00F72C74" w:rsidRDefault="00F72C74" w:rsidP="0051520C"/>
    <w:p w14:paraId="5F3FFD46" w14:textId="42DF0584" w:rsidR="00F0326B" w:rsidRDefault="00F72C74" w:rsidP="0051520C">
      <w:r>
        <w:t xml:space="preserve">Emissions from </w:t>
      </w:r>
      <w:r w:rsidRPr="00A32BDB">
        <w:rPr>
          <w:highlight w:val="yellow"/>
        </w:rPr>
        <w:t>vehicular traffic, power generators, and burn pits on and off the base camp</w:t>
      </w:r>
      <w:r>
        <w:t xml:space="preserve"> </w:t>
      </w:r>
      <w:r w:rsidR="0028034E" w:rsidRPr="0028034E">
        <w:rPr>
          <w:color w:val="0070C0"/>
        </w:rPr>
        <w:t>[insert site specific exposure information]</w:t>
      </w:r>
      <w:r w:rsidR="0028034E" w:rsidRPr="0028034E">
        <w:t xml:space="preserve"> </w:t>
      </w:r>
      <w:r>
        <w:t>contributed to the ambient</w:t>
      </w:r>
      <w:r w:rsidR="00AC28DE">
        <w:t xml:space="preserve"> air</w:t>
      </w:r>
      <w:r>
        <w:t xml:space="preserve"> environment at </w:t>
      </w:r>
      <w:r w:rsidRPr="00A32BDB">
        <w:rPr>
          <w:highlight w:val="green"/>
        </w:rPr>
        <w:t>Camp XX</w:t>
      </w:r>
      <w:r w:rsidR="007E696D" w:rsidRPr="007E696D">
        <w:rPr>
          <w:highlight w:val="green"/>
        </w:rPr>
        <w:t>X</w:t>
      </w:r>
      <w:r>
        <w:t>.</w:t>
      </w:r>
    </w:p>
    <w:p w14:paraId="5888A296" w14:textId="77777777" w:rsidR="00F72C74" w:rsidRDefault="00F72C74" w:rsidP="0051520C"/>
    <w:p w14:paraId="34E43FBF" w14:textId="691CBA07" w:rsidR="005D2416" w:rsidRPr="00F72C74" w:rsidRDefault="005D2416" w:rsidP="0051520C">
      <w:r w:rsidRPr="00F83550">
        <w:t>Inhalational exposure to high levels of particulate matter</w:t>
      </w:r>
      <w:r w:rsidR="00AE6D7E">
        <w:t>,</w:t>
      </w:r>
      <w:r w:rsidR="00650384">
        <w:t xml:space="preserve"> </w:t>
      </w:r>
      <w:r w:rsidRPr="00F83550">
        <w:t>such as during high winds or dust storms, may result in mild to more serious short-term health effects (e.g., eye, nose or throat</w:t>
      </w:r>
      <w:r w:rsidR="00B1255C">
        <w:t>,</w:t>
      </w:r>
      <w:r w:rsidRPr="00F83550">
        <w:t xml:space="preserve"> and lung irritation) in some personnel</w:t>
      </w:r>
      <w:r w:rsidR="002C6D14">
        <w:t xml:space="preserve">. </w:t>
      </w:r>
      <w:r w:rsidRPr="00F83550">
        <w:t>Additionally, certain subgroups of the deployed forces (e.g., those with pre-existing asthma</w:t>
      </w:r>
      <w:r w:rsidR="00E544AE">
        <w:t xml:space="preserve"> or</w:t>
      </w:r>
      <w:r w:rsidR="006B48F5">
        <w:t xml:space="preserve"> </w:t>
      </w:r>
      <w:r w:rsidRPr="00F83550">
        <w:t xml:space="preserve">cardiopulmonary conditions) are at greatest risk of developing notable </w:t>
      </w:r>
      <w:r w:rsidR="00726A83">
        <w:t>adverse</w:t>
      </w:r>
      <w:r w:rsidR="00726A83" w:rsidRPr="00F83550">
        <w:t xml:space="preserve"> </w:t>
      </w:r>
      <w:r w:rsidRPr="00F83550">
        <w:t>health effects</w:t>
      </w:r>
      <w:r w:rsidR="0053222F">
        <w:t xml:space="preserve">. </w:t>
      </w:r>
    </w:p>
    <w:p w14:paraId="66A0E288" w14:textId="77777777" w:rsidR="00F054B2" w:rsidRDefault="00F054B2" w:rsidP="0051520C"/>
    <w:p w14:paraId="265C9685" w14:textId="46FD6C5C" w:rsidR="00AA5EE2" w:rsidRPr="00E42010" w:rsidRDefault="00AA5EE2" w:rsidP="00580B36">
      <w:pPr>
        <w:pStyle w:val="Heading2"/>
      </w:pPr>
      <w:commentRangeStart w:id="28"/>
      <w:r w:rsidRPr="00F0720A">
        <w:t>Particulate</w:t>
      </w:r>
      <w:commentRangeEnd w:id="28"/>
      <w:r w:rsidR="00D204D3">
        <w:rPr>
          <w:rStyle w:val="CommentReference"/>
          <w:bCs w:val="0"/>
          <w:iCs w:val="0"/>
        </w:rPr>
        <w:commentReference w:id="28"/>
      </w:r>
      <w:r w:rsidRPr="00F0720A">
        <w:t xml:space="preserve"> Matter, less than 10 micro</w:t>
      </w:r>
      <w:r>
        <w:t>meters</w:t>
      </w:r>
      <w:r w:rsidRPr="00F0720A">
        <w:t xml:space="preserve"> </w:t>
      </w:r>
    </w:p>
    <w:p w14:paraId="49072C61" w14:textId="77777777" w:rsidR="00AA5EE2" w:rsidRDefault="00AA5EE2" w:rsidP="0051520C"/>
    <w:p w14:paraId="333E6AB1" w14:textId="69BA3C36" w:rsidR="00AA5EE2" w:rsidRPr="00E772AE" w:rsidRDefault="00AA5EE2" w:rsidP="00980F47">
      <w:pPr>
        <w:pStyle w:val="Heading3"/>
        <w:rPr>
          <w:iCs/>
          <w:highlight w:val="yellow"/>
        </w:rPr>
      </w:pPr>
      <w:r w:rsidRPr="00E772AE">
        <w:rPr>
          <w:highlight w:val="yellow"/>
        </w:rPr>
        <w:t>Exposure Guidelines</w:t>
      </w:r>
      <w:r w:rsidRPr="00E772AE">
        <w:rPr>
          <w:iCs/>
          <w:highlight w:val="yellow"/>
        </w:rPr>
        <w:t>:</w:t>
      </w:r>
    </w:p>
    <w:p w14:paraId="608B7F74" w14:textId="77777777" w:rsidR="00F46974" w:rsidRDefault="00F46974" w:rsidP="0051520C">
      <w:pPr>
        <w:rPr>
          <w:highlight w:val="yellow"/>
        </w:rPr>
      </w:pPr>
    </w:p>
    <w:tbl>
      <w:tblPr>
        <w:tblStyle w:val="TableGrid"/>
        <w:tblW w:w="0" w:type="auto"/>
        <w:tblLook w:val="04A0" w:firstRow="1" w:lastRow="0" w:firstColumn="1" w:lastColumn="0" w:noHBand="0" w:noVBand="1"/>
      </w:tblPr>
      <w:tblGrid>
        <w:gridCol w:w="5035"/>
        <w:gridCol w:w="5035"/>
      </w:tblGrid>
      <w:tr w:rsidR="00F46974" w14:paraId="06DF3983" w14:textId="77777777" w:rsidTr="4DC24C3C">
        <w:tc>
          <w:tcPr>
            <w:tcW w:w="5035" w:type="dxa"/>
            <w:tcBorders>
              <w:top w:val="nil"/>
              <w:left w:val="nil"/>
              <w:bottom w:val="nil"/>
              <w:right w:val="nil"/>
            </w:tcBorders>
          </w:tcPr>
          <w:p w14:paraId="5E164AD3" w14:textId="77777777" w:rsidR="004A79C9" w:rsidRPr="00E772AE" w:rsidRDefault="004A79C9" w:rsidP="004A79C9">
            <w:pPr>
              <w:rPr>
                <w:highlight w:val="yellow"/>
              </w:rPr>
            </w:pPr>
            <w:r>
              <w:rPr>
                <w:highlight w:val="yellow"/>
              </w:rPr>
              <w:t>Short-t</w:t>
            </w:r>
            <w:r w:rsidRPr="00E772AE">
              <w:rPr>
                <w:highlight w:val="yellow"/>
              </w:rPr>
              <w:t>erm (24-hour) PM</w:t>
            </w:r>
            <w:r w:rsidRPr="00424231">
              <w:rPr>
                <w:rStyle w:val="StyleSubscript"/>
                <w:highlight w:val="yellow"/>
              </w:rPr>
              <w:t xml:space="preserve">10 </w:t>
            </w:r>
            <w:r w:rsidRPr="00E772AE">
              <w:rPr>
                <w:highlight w:val="yellow"/>
              </w:rPr>
              <w:t>MEGs (µg/m</w:t>
            </w:r>
            <w:r w:rsidRPr="00E772AE">
              <w:rPr>
                <w:highlight w:val="yellow"/>
                <w:vertAlign w:val="superscript"/>
              </w:rPr>
              <w:t>3</w:t>
            </w:r>
            <w:r w:rsidRPr="00E772AE">
              <w:rPr>
                <w:highlight w:val="yellow"/>
              </w:rPr>
              <w:t>):</w:t>
            </w:r>
          </w:p>
          <w:p w14:paraId="69894114" w14:textId="77777777" w:rsidR="004A79C9" w:rsidRPr="002E5607" w:rsidRDefault="004A79C9" w:rsidP="00F704C7">
            <w:pPr>
              <w:pStyle w:val="ListParagraph"/>
              <w:numPr>
                <w:ilvl w:val="0"/>
                <w:numId w:val="1"/>
              </w:numPr>
              <w:rPr>
                <w:highlight w:val="yellow"/>
              </w:rPr>
            </w:pPr>
            <w:r w:rsidRPr="002E5607">
              <w:rPr>
                <w:highlight w:val="yellow"/>
              </w:rPr>
              <w:t>Negligible MEG = 250</w:t>
            </w:r>
          </w:p>
          <w:p w14:paraId="5192876A" w14:textId="77777777" w:rsidR="004A79C9" w:rsidRPr="002E5607" w:rsidRDefault="004A79C9" w:rsidP="00F704C7">
            <w:pPr>
              <w:pStyle w:val="ListParagraph"/>
              <w:numPr>
                <w:ilvl w:val="0"/>
                <w:numId w:val="1"/>
              </w:numPr>
              <w:rPr>
                <w:highlight w:val="yellow"/>
              </w:rPr>
            </w:pPr>
            <w:r w:rsidRPr="002E5607">
              <w:rPr>
                <w:highlight w:val="yellow"/>
              </w:rPr>
              <w:t>Marginal MEG = 420</w:t>
            </w:r>
          </w:p>
          <w:p w14:paraId="7D61BD9A" w14:textId="77777777" w:rsidR="004A79C9" w:rsidRPr="002E5607" w:rsidRDefault="004A79C9" w:rsidP="00F704C7">
            <w:pPr>
              <w:pStyle w:val="ListParagraph"/>
              <w:numPr>
                <w:ilvl w:val="0"/>
                <w:numId w:val="1"/>
              </w:numPr>
              <w:rPr>
                <w:highlight w:val="yellow"/>
              </w:rPr>
            </w:pPr>
            <w:r w:rsidRPr="002E5607">
              <w:rPr>
                <w:highlight w:val="yellow"/>
              </w:rPr>
              <w:t>Critical MEG = 600</w:t>
            </w:r>
          </w:p>
          <w:p w14:paraId="35A3C378" w14:textId="77777777" w:rsidR="00F46974" w:rsidRDefault="00F46974" w:rsidP="0051520C">
            <w:pPr>
              <w:rPr>
                <w:highlight w:val="yellow"/>
              </w:rPr>
            </w:pPr>
          </w:p>
        </w:tc>
        <w:tc>
          <w:tcPr>
            <w:tcW w:w="5035" w:type="dxa"/>
            <w:tcBorders>
              <w:top w:val="nil"/>
              <w:left w:val="nil"/>
              <w:bottom w:val="nil"/>
              <w:right w:val="nil"/>
            </w:tcBorders>
          </w:tcPr>
          <w:p w14:paraId="328D62EC" w14:textId="77777777" w:rsidR="004A79C9" w:rsidRPr="00974304" w:rsidRDefault="004A79C9" w:rsidP="004A79C9">
            <w:r w:rsidRPr="00E772AE">
              <w:rPr>
                <w:highlight w:val="yellow"/>
              </w:rPr>
              <w:t>Long-term (1-year) PM</w:t>
            </w:r>
            <w:r w:rsidRPr="00424231">
              <w:rPr>
                <w:rStyle w:val="StyleSubscript"/>
                <w:highlight w:val="yellow"/>
              </w:rPr>
              <w:t xml:space="preserve">10 </w:t>
            </w:r>
            <w:r w:rsidRPr="00E772AE">
              <w:rPr>
                <w:highlight w:val="yellow"/>
              </w:rPr>
              <w:t>MEGs (µg/m</w:t>
            </w:r>
            <w:r w:rsidRPr="00E772AE">
              <w:rPr>
                <w:highlight w:val="yellow"/>
                <w:vertAlign w:val="superscript"/>
              </w:rPr>
              <w:t>3</w:t>
            </w:r>
            <w:r w:rsidRPr="00E772AE">
              <w:rPr>
                <w:highlight w:val="yellow"/>
              </w:rPr>
              <w:t>):</w:t>
            </w:r>
          </w:p>
          <w:p w14:paraId="2C75DCAF" w14:textId="3A603048" w:rsidR="004A79C9" w:rsidRPr="002E5607" w:rsidRDefault="004A79C9" w:rsidP="00F704C7">
            <w:pPr>
              <w:pStyle w:val="ListParagraph"/>
              <w:numPr>
                <w:ilvl w:val="0"/>
                <w:numId w:val="2"/>
              </w:numPr>
              <w:rPr>
                <w:highlight w:val="yellow"/>
              </w:rPr>
            </w:pPr>
            <w:r w:rsidRPr="4DC24C3C">
              <w:rPr>
                <w:highlight w:val="yellow"/>
              </w:rPr>
              <w:t xml:space="preserve">Not </w:t>
            </w:r>
            <w:r w:rsidR="319D4462" w:rsidRPr="4DC24C3C">
              <w:rPr>
                <w:highlight w:val="yellow"/>
              </w:rPr>
              <w:t>available</w:t>
            </w:r>
            <w:r w:rsidRPr="4DC24C3C">
              <w:rPr>
                <w:highlight w:val="yellow"/>
              </w:rPr>
              <w:t xml:space="preserve"> </w:t>
            </w:r>
          </w:p>
          <w:p w14:paraId="668E9461" w14:textId="77777777" w:rsidR="00F46974" w:rsidRDefault="00F46974" w:rsidP="0051520C">
            <w:pPr>
              <w:rPr>
                <w:highlight w:val="yellow"/>
              </w:rPr>
            </w:pPr>
          </w:p>
        </w:tc>
      </w:tr>
    </w:tbl>
    <w:p w14:paraId="2EC7194F" w14:textId="7010950A" w:rsidR="00F72C74" w:rsidRPr="00A74718" w:rsidRDefault="00F72C74" w:rsidP="00FD4769">
      <w:pPr>
        <w:pStyle w:val="Heading3"/>
      </w:pPr>
      <w:r w:rsidRPr="00B3012D">
        <w:rPr>
          <w:highlight w:val="yellow"/>
        </w:rPr>
        <w:t xml:space="preserve">Sample </w:t>
      </w:r>
      <w:r w:rsidR="000D09F5" w:rsidRPr="00B3012D">
        <w:rPr>
          <w:highlight w:val="yellow"/>
        </w:rPr>
        <w:t>Data/Note</w:t>
      </w:r>
      <w:r w:rsidRPr="00B3012D">
        <w:rPr>
          <w:highlight w:val="yellow"/>
        </w:rPr>
        <w:t>s:</w:t>
      </w:r>
    </w:p>
    <w:p w14:paraId="6D7094EC" w14:textId="1D8CB7C1" w:rsidR="00B3012D" w:rsidRDefault="00B3012D" w:rsidP="0051520C"/>
    <w:p w14:paraId="6F856A57" w14:textId="605CE538" w:rsidR="005E69DC" w:rsidRDefault="00F72C74" w:rsidP="0051520C">
      <w:r w:rsidRPr="00FF1F6A">
        <w:t xml:space="preserve">A total of </w:t>
      </w:r>
      <w:r w:rsidR="00E772AE" w:rsidRPr="00E772AE">
        <w:rPr>
          <w:highlight w:val="yellow"/>
        </w:rPr>
        <w:t>XX</w:t>
      </w:r>
      <w:r w:rsidRPr="00A74718">
        <w:t xml:space="preserve"> valid PM</w:t>
      </w:r>
      <w:r w:rsidRPr="00424231">
        <w:rPr>
          <w:rStyle w:val="StyleSubscript"/>
        </w:rPr>
        <w:t>10</w:t>
      </w:r>
      <w:r w:rsidRPr="00A74718">
        <w:t xml:space="preserve"> air </w:t>
      </w:r>
      <w:r w:rsidRPr="00B1255C">
        <w:rPr>
          <w:highlight w:val="yellow"/>
        </w:rPr>
        <w:t>sample were</w:t>
      </w:r>
      <w:r w:rsidRPr="00A74718">
        <w:t xml:space="preserve"> collected </w:t>
      </w:r>
      <w:r w:rsidR="004D7AAB">
        <w:t>in</w:t>
      </w:r>
      <w:r w:rsidRPr="00A74718">
        <w:t xml:space="preserve"> </w:t>
      </w:r>
      <w:r w:rsidRPr="00974304">
        <w:rPr>
          <w:highlight w:val="yellow"/>
        </w:rPr>
        <w:t>Year</w:t>
      </w:r>
      <w:r>
        <w:t xml:space="preserve"> </w:t>
      </w:r>
      <w:r w:rsidRPr="00A74718">
        <w:t xml:space="preserve">at </w:t>
      </w:r>
      <w:r w:rsidRPr="00FF1F6A">
        <w:rPr>
          <w:highlight w:val="green"/>
        </w:rPr>
        <w:t>Camp XXX</w:t>
      </w:r>
      <w:r w:rsidRPr="008A2393">
        <w:t xml:space="preserve">. </w:t>
      </w:r>
      <w:r w:rsidR="00E847F2" w:rsidRPr="00E847F2">
        <w:rPr>
          <w:highlight w:val="yellow"/>
        </w:rPr>
        <w:t>When more than one sample was collected on a single day, the PM</w:t>
      </w:r>
      <w:r w:rsidR="00E847F2" w:rsidRPr="00424231">
        <w:rPr>
          <w:rStyle w:val="StyleSubscript"/>
          <w:highlight w:val="yellow"/>
        </w:rPr>
        <w:t>10</w:t>
      </w:r>
      <w:r w:rsidR="00E847F2" w:rsidRPr="00E847F2">
        <w:rPr>
          <w:highlight w:val="yellow"/>
        </w:rPr>
        <w:t xml:space="preserve"> concentrations were averaged to provide a daily </w:t>
      </w:r>
      <w:r w:rsidR="00E847F2" w:rsidRPr="007E63C9">
        <w:rPr>
          <w:highlight w:val="yellow"/>
        </w:rPr>
        <w:t xml:space="preserve">concentration. </w:t>
      </w:r>
      <w:r w:rsidRPr="00870CA8">
        <w:t>The range of 24-hour PM</w:t>
      </w:r>
      <w:r w:rsidRPr="00424231">
        <w:rPr>
          <w:rStyle w:val="StyleSubscript"/>
        </w:rPr>
        <w:t>10</w:t>
      </w:r>
      <w:r w:rsidRPr="00870CA8">
        <w:t xml:space="preserve"> concentrations was </w:t>
      </w:r>
      <w:r w:rsidRPr="007E63C9">
        <w:rPr>
          <w:highlight w:val="yellow"/>
        </w:rPr>
        <w:t>XX</w:t>
      </w:r>
      <w:r w:rsidRPr="00870CA8">
        <w:t xml:space="preserve"> µg/m</w:t>
      </w:r>
      <w:r w:rsidRPr="00870CA8">
        <w:rPr>
          <w:vertAlign w:val="superscript"/>
        </w:rPr>
        <w:t>3</w:t>
      </w:r>
      <w:r w:rsidRPr="00870CA8">
        <w:t xml:space="preserve"> – </w:t>
      </w:r>
      <w:r w:rsidRPr="007E63C9">
        <w:rPr>
          <w:highlight w:val="yellow"/>
        </w:rPr>
        <w:t>XX</w:t>
      </w:r>
      <w:r w:rsidRPr="00870CA8">
        <w:t xml:space="preserve"> µg/</w:t>
      </w:r>
      <w:r w:rsidR="006D7606" w:rsidRPr="00C73623">
        <w:t>m</w:t>
      </w:r>
      <w:r w:rsidR="006D7606" w:rsidRPr="00C73623">
        <w:rPr>
          <w:vertAlign w:val="superscript"/>
        </w:rPr>
        <w:t>3</w:t>
      </w:r>
      <w:r w:rsidR="00C73623" w:rsidRPr="00C73623">
        <w:rPr>
          <w:color w:val="0070C0"/>
        </w:rPr>
        <w:t xml:space="preserve"> </w:t>
      </w:r>
      <w:r w:rsidRPr="00870CA8">
        <w:t xml:space="preserve">with an average concentration of </w:t>
      </w:r>
      <w:r w:rsidRPr="007E63C9">
        <w:rPr>
          <w:highlight w:val="yellow"/>
        </w:rPr>
        <w:t>XX</w:t>
      </w:r>
      <w:r w:rsidRPr="00870CA8">
        <w:t xml:space="preserve"> µg/m</w:t>
      </w:r>
      <w:r w:rsidRPr="00870CA8">
        <w:rPr>
          <w:vertAlign w:val="superscript"/>
        </w:rPr>
        <w:t>3</w:t>
      </w:r>
      <w:r w:rsidRPr="006D7606">
        <w:t>.</w:t>
      </w:r>
      <w:r w:rsidR="005E69DC" w:rsidRPr="006D7606">
        <w:t xml:space="preserve"> </w:t>
      </w:r>
      <w:r w:rsidR="00F932D6" w:rsidRPr="006E335E">
        <w:rPr>
          <w:color w:val="0070C0"/>
        </w:rPr>
        <w:t xml:space="preserve">[Use integers for all PM concentrations.] </w:t>
      </w:r>
      <w:r w:rsidR="005E69DC" w:rsidRPr="007E63C9">
        <w:rPr>
          <w:highlight w:val="yellow"/>
        </w:rPr>
        <w:t xml:space="preserve">Note that XX additional samples were </w:t>
      </w:r>
      <w:r w:rsidR="0049531E" w:rsidRPr="00B3012D">
        <w:rPr>
          <w:highlight w:val="yellow"/>
        </w:rPr>
        <w:t xml:space="preserve">collected but </w:t>
      </w:r>
      <w:r w:rsidR="005E69DC" w:rsidRPr="00B3012D">
        <w:rPr>
          <w:highlight w:val="yellow"/>
        </w:rPr>
        <w:t>invalid due to</w:t>
      </w:r>
      <w:r w:rsidR="005E69DC">
        <w:t xml:space="preserve"> </w:t>
      </w:r>
      <w:r w:rsidR="005E69DC" w:rsidRPr="007507B9">
        <w:rPr>
          <w:highlight w:val="yellow"/>
        </w:rPr>
        <w:t>equipment or laboratory errors</w:t>
      </w:r>
      <w:r w:rsidR="005E69DC" w:rsidRPr="0006449E">
        <w:rPr>
          <w:highlight w:val="yellow"/>
        </w:rPr>
        <w:t>.</w:t>
      </w:r>
    </w:p>
    <w:p w14:paraId="63EC59B8" w14:textId="3CFC3FF1" w:rsidR="00F72C74" w:rsidRPr="00A74718" w:rsidRDefault="00F72C74" w:rsidP="0051520C"/>
    <w:p w14:paraId="7D3AC6ED" w14:textId="0E48F985" w:rsidR="00F72C74" w:rsidRPr="00A74718" w:rsidRDefault="00F72C74" w:rsidP="00FD4769">
      <w:pPr>
        <w:pStyle w:val="Heading3"/>
      </w:pPr>
      <w:r w:rsidRPr="00A74718">
        <w:t xml:space="preserve">Short-term </w:t>
      </w:r>
      <w:r w:rsidR="000D09F5" w:rsidRPr="00A74718">
        <w:t>Health Risks</w:t>
      </w:r>
      <w:r w:rsidRPr="00A74718">
        <w:t>:</w:t>
      </w:r>
    </w:p>
    <w:p w14:paraId="52EE5F31" w14:textId="77777777" w:rsidR="00F72C74" w:rsidRPr="00A74718" w:rsidRDefault="00F72C74" w:rsidP="0051520C"/>
    <w:p w14:paraId="2B4B8EB8" w14:textId="39DA106A" w:rsidR="006D7606" w:rsidRPr="006E335E" w:rsidRDefault="00691BAF" w:rsidP="0051520C">
      <w:pPr>
        <w:rPr>
          <w:b/>
          <w:bCs/>
          <w:color w:val="0070C0"/>
        </w:rPr>
      </w:pPr>
      <w:r w:rsidRPr="006E335E">
        <w:rPr>
          <w:b/>
          <w:bCs/>
          <w:color w:val="0070C0"/>
        </w:rPr>
        <w:t>[This is an example</w:t>
      </w:r>
      <w:r w:rsidR="00A24D12" w:rsidRPr="006E335E">
        <w:rPr>
          <w:b/>
          <w:bCs/>
          <w:color w:val="0070C0"/>
        </w:rPr>
        <w:t xml:space="preserve"> for samples collected for 1 year. For samples collected for multiple years, see next PM</w:t>
      </w:r>
      <w:r w:rsidR="00A24D12" w:rsidRPr="006E335E">
        <w:rPr>
          <w:b/>
          <w:bCs/>
          <w:color w:val="0070C0"/>
          <w:vertAlign w:val="subscript"/>
        </w:rPr>
        <w:t xml:space="preserve">2.5 </w:t>
      </w:r>
      <w:r w:rsidR="00A24D12" w:rsidRPr="006E335E">
        <w:rPr>
          <w:b/>
          <w:bCs/>
          <w:color w:val="0070C0"/>
        </w:rPr>
        <w:t>section</w:t>
      </w:r>
      <w:r w:rsidR="00D61F1A" w:rsidRPr="006E335E">
        <w:rPr>
          <w:b/>
          <w:bCs/>
          <w:color w:val="0070C0"/>
        </w:rPr>
        <w:t xml:space="preserve"> where t</w:t>
      </w:r>
      <w:r w:rsidR="00FD422A" w:rsidRPr="006E335E">
        <w:rPr>
          <w:b/>
          <w:bCs/>
          <w:color w:val="0070C0"/>
        </w:rPr>
        <w:t>he years are broken out and assessed separately.]</w:t>
      </w:r>
    </w:p>
    <w:p w14:paraId="2F4099AE" w14:textId="77777777" w:rsidR="006D7606" w:rsidRPr="00D61F1A" w:rsidRDefault="006D7606" w:rsidP="0051520C">
      <w:pPr>
        <w:rPr>
          <w:b/>
          <w:bCs/>
          <w:color w:val="FF0000"/>
          <w:highlight w:val="yellow"/>
        </w:rPr>
      </w:pPr>
    </w:p>
    <w:p w14:paraId="1DC6C6A0" w14:textId="0CAEF6D9" w:rsidR="00F72C74" w:rsidRPr="00A954F7" w:rsidRDefault="00F72C74" w:rsidP="0051520C">
      <w:r w:rsidRPr="00E772AE">
        <w:rPr>
          <w:b/>
          <w:bCs/>
          <w:highlight w:val="yellow"/>
        </w:rPr>
        <w:t>Low</w:t>
      </w:r>
      <w:r w:rsidR="00FA1A7D" w:rsidRPr="00FA1A7D">
        <w:rPr>
          <w:bCs/>
        </w:rPr>
        <w:t>.</w:t>
      </w:r>
      <w:r w:rsidR="00FA1A7D">
        <w:rPr>
          <w:bCs/>
        </w:rPr>
        <w:t xml:space="preserve"> </w:t>
      </w:r>
      <w:r w:rsidRPr="00A954F7">
        <w:t>The short-term PM</w:t>
      </w:r>
      <w:r w:rsidRPr="00424231">
        <w:rPr>
          <w:rStyle w:val="StyleSubscript"/>
        </w:rPr>
        <w:t>10</w:t>
      </w:r>
      <w:r w:rsidRPr="00A954F7">
        <w:t xml:space="preserve"> health risk was </w:t>
      </w:r>
      <w:r>
        <w:rPr>
          <w:bCs/>
          <w:highlight w:val="yellow"/>
        </w:rPr>
        <w:t>L</w:t>
      </w:r>
      <w:r w:rsidRPr="00A954F7">
        <w:rPr>
          <w:bCs/>
          <w:highlight w:val="yellow"/>
        </w:rPr>
        <w:t>ow</w:t>
      </w:r>
      <w:r w:rsidRPr="00A954F7">
        <w:t xml:space="preserve"> based on average and peak PM</w:t>
      </w:r>
      <w:r w:rsidRPr="00424231">
        <w:rPr>
          <w:rStyle w:val="StyleSubscript"/>
        </w:rPr>
        <w:t>10</w:t>
      </w:r>
      <w:r w:rsidRPr="00A954F7">
        <w:t xml:space="preserve"> concentrations, and the likelihood of exposure at these hazard severity levels</w:t>
      </w:r>
      <w:r>
        <w:t xml:space="preserve">. </w:t>
      </w:r>
      <w:r w:rsidRPr="00A954F7">
        <w:t xml:space="preserve">A </w:t>
      </w:r>
      <w:r w:rsidRPr="00601E1D">
        <w:rPr>
          <w:bCs/>
          <w:highlight w:val="yellow"/>
        </w:rPr>
        <w:t>low</w:t>
      </w:r>
      <w:r w:rsidRPr="00A954F7">
        <w:t xml:space="preserve"> health risk suggests that short-term exposure to PM</w:t>
      </w:r>
      <w:r w:rsidRPr="00424231">
        <w:rPr>
          <w:rStyle w:val="StyleSubscript"/>
        </w:rPr>
        <w:t xml:space="preserve">10 </w:t>
      </w:r>
      <w:r w:rsidRPr="00A954F7">
        <w:t xml:space="preserve">at </w:t>
      </w:r>
      <w:r w:rsidRPr="00A954F7">
        <w:rPr>
          <w:highlight w:val="green"/>
        </w:rPr>
        <w:t>Camp XXX</w:t>
      </w:r>
      <w:r w:rsidRPr="00A954F7">
        <w:t xml:space="preserve"> </w:t>
      </w:r>
      <w:r w:rsidRPr="00601E1D">
        <w:t xml:space="preserve">was expected </w:t>
      </w:r>
      <w:r w:rsidRPr="00601E1D">
        <w:rPr>
          <w:highlight w:val="yellow"/>
        </w:rPr>
        <w:t xml:space="preserve">to have </w:t>
      </w:r>
      <w:r w:rsidRPr="007E63C9">
        <w:rPr>
          <w:bCs/>
          <w:highlight w:val="yellow"/>
        </w:rPr>
        <w:t>little to no impact on the mission</w:t>
      </w:r>
      <w:r w:rsidRPr="00A954F7">
        <w:t xml:space="preserve"> (</w:t>
      </w:r>
      <w:r w:rsidRPr="00E772AE">
        <w:t>Reference</w:t>
      </w:r>
      <w:r w:rsidRPr="00A954F7">
        <w:t xml:space="preserve"> </w:t>
      </w:r>
      <w:r w:rsidR="00622E42" w:rsidRPr="00622E42">
        <w:rPr>
          <w:highlight w:val="yellow"/>
        </w:rPr>
        <w:t>XX</w:t>
      </w:r>
      <w:r w:rsidRPr="00A954F7">
        <w:t>, Table 3-2)</w:t>
      </w:r>
      <w:r>
        <w:t xml:space="preserve">. </w:t>
      </w:r>
      <w:r w:rsidRPr="00A954F7">
        <w:t>Confidence in the short-term PM</w:t>
      </w:r>
      <w:r w:rsidRPr="00424231">
        <w:rPr>
          <w:rStyle w:val="StyleSubscript"/>
        </w:rPr>
        <w:t>10</w:t>
      </w:r>
      <w:r w:rsidRPr="00A954F7">
        <w:t xml:space="preserve"> health risk assessment was </w:t>
      </w:r>
      <w:commentRangeStart w:id="29"/>
      <w:r w:rsidRPr="000A0DCB">
        <w:rPr>
          <w:highlight w:val="yellow"/>
        </w:rPr>
        <w:t>low</w:t>
      </w:r>
      <w:commentRangeEnd w:id="29"/>
      <w:r w:rsidR="00C87710">
        <w:rPr>
          <w:rStyle w:val="CommentReference"/>
        </w:rPr>
        <w:commentReference w:id="29"/>
      </w:r>
      <w:r w:rsidRPr="00A954F7">
        <w:t xml:space="preserve"> (</w:t>
      </w:r>
      <w:r w:rsidRPr="00622E42">
        <w:t xml:space="preserve">Reference </w:t>
      </w:r>
      <w:r w:rsidR="00622E42" w:rsidRPr="00622E42">
        <w:rPr>
          <w:highlight w:val="yellow"/>
        </w:rPr>
        <w:t>XX</w:t>
      </w:r>
      <w:r w:rsidRPr="00A954F7">
        <w:t>, Table 3-6).</w:t>
      </w:r>
    </w:p>
    <w:p w14:paraId="6DBEAA36" w14:textId="77777777" w:rsidR="00F72C74" w:rsidRPr="00A954F7" w:rsidRDefault="00F72C74" w:rsidP="0051520C"/>
    <w:p w14:paraId="6C6B5F83" w14:textId="5F625286" w:rsidR="00D05A65" w:rsidRDefault="00D05A65" w:rsidP="0051520C">
      <w:r w:rsidRPr="00D05A65">
        <w:rPr>
          <w:highlight w:val="yellow"/>
        </w:rPr>
        <w:t xml:space="preserve">XX </w:t>
      </w:r>
      <w:r w:rsidRPr="00870CA8">
        <w:t>of</w:t>
      </w:r>
      <w:r w:rsidRPr="00D05A65">
        <w:rPr>
          <w:highlight w:val="yellow"/>
        </w:rPr>
        <w:t xml:space="preserve"> </w:t>
      </w:r>
      <w:r w:rsidRPr="00870CA8">
        <w:rPr>
          <w:highlight w:val="yellow"/>
        </w:rPr>
        <w:t xml:space="preserve">XX </w:t>
      </w:r>
      <w:r w:rsidRPr="00870CA8">
        <w:t>PM</w:t>
      </w:r>
      <w:r w:rsidRPr="00424231">
        <w:rPr>
          <w:rStyle w:val="StyleSubscript"/>
        </w:rPr>
        <w:t xml:space="preserve">10 </w:t>
      </w:r>
      <w:r w:rsidRPr="00870CA8">
        <w:t xml:space="preserve">sample concentrations </w:t>
      </w:r>
      <w:r w:rsidR="00FE3A97" w:rsidRPr="00870CA8">
        <w:t xml:space="preserve">were </w:t>
      </w:r>
      <w:r w:rsidR="00DE4E2C" w:rsidRPr="00870CA8">
        <w:t xml:space="preserve">in the </w:t>
      </w:r>
      <w:r w:rsidR="005A66A7" w:rsidRPr="00870CA8">
        <w:rPr>
          <w:highlight w:val="yellow"/>
        </w:rPr>
        <w:t>N</w:t>
      </w:r>
      <w:r w:rsidRPr="00870CA8">
        <w:rPr>
          <w:highlight w:val="yellow"/>
        </w:rPr>
        <w:t>egligible</w:t>
      </w:r>
      <w:r w:rsidRPr="00870CA8">
        <w:t xml:space="preserve"> hazard severity </w:t>
      </w:r>
      <w:r w:rsidR="00FE3A97" w:rsidRPr="00870CA8">
        <w:t xml:space="preserve">range </w:t>
      </w:r>
      <w:r w:rsidR="00FE3A97" w:rsidRPr="00870CA8">
        <w:rPr>
          <w:highlight w:val="yellow"/>
        </w:rPr>
        <w:t>(</w:t>
      </w:r>
      <w:r w:rsidR="003B5773" w:rsidRPr="00870CA8">
        <w:rPr>
          <w:highlight w:val="yellow"/>
        </w:rPr>
        <w:t>250</w:t>
      </w:r>
      <w:r w:rsidR="00B86545">
        <w:rPr>
          <w:rFonts w:cs="Arial"/>
          <w:highlight w:val="yellow"/>
        </w:rPr>
        <w:t>–</w:t>
      </w:r>
      <w:r w:rsidR="003B5773" w:rsidRPr="00870CA8">
        <w:rPr>
          <w:highlight w:val="yellow"/>
        </w:rPr>
        <w:t>420</w:t>
      </w:r>
      <w:r w:rsidR="00FE3A97" w:rsidRPr="00870CA8">
        <w:rPr>
          <w:highlight w:val="yellow"/>
        </w:rPr>
        <w:t xml:space="preserve"> </w:t>
      </w:r>
      <w:r w:rsidR="00E16244" w:rsidRPr="00870CA8">
        <w:t>µ</w:t>
      </w:r>
      <w:r w:rsidR="00FE3A97" w:rsidRPr="00870CA8">
        <w:t>g/m</w:t>
      </w:r>
      <w:r w:rsidR="00FE3A97" w:rsidRPr="00870CA8">
        <w:rPr>
          <w:vertAlign w:val="superscript"/>
        </w:rPr>
        <w:t>3</w:t>
      </w:r>
      <w:r w:rsidR="00FE3A97" w:rsidRPr="00870CA8">
        <w:t>)</w:t>
      </w:r>
      <w:r w:rsidR="00870CA8" w:rsidRPr="00870CA8">
        <w:t>,</w:t>
      </w:r>
      <w:r w:rsidR="00FE3A97" w:rsidRPr="00870CA8">
        <w:t xml:space="preserve"> </w:t>
      </w:r>
      <w:r w:rsidR="00A72009" w:rsidRPr="00870CA8">
        <w:rPr>
          <w:highlight w:val="yellow"/>
        </w:rPr>
        <w:t xml:space="preserve">XX </w:t>
      </w:r>
      <w:r w:rsidR="00A72009" w:rsidRPr="00870CA8">
        <w:t xml:space="preserve">were in the </w:t>
      </w:r>
      <w:r w:rsidR="00A72009" w:rsidRPr="00870CA8">
        <w:rPr>
          <w:highlight w:val="yellow"/>
        </w:rPr>
        <w:t xml:space="preserve">Marginal </w:t>
      </w:r>
      <w:r w:rsidR="00A72009" w:rsidRPr="00870CA8">
        <w:t xml:space="preserve">hazard severity range </w:t>
      </w:r>
      <w:r w:rsidR="00A72009" w:rsidRPr="00163BB2">
        <w:rPr>
          <w:highlight w:val="yellow"/>
        </w:rPr>
        <w:t>(42</w:t>
      </w:r>
      <w:r w:rsidR="004D7AAB">
        <w:rPr>
          <w:highlight w:val="yellow"/>
        </w:rPr>
        <w:t>0</w:t>
      </w:r>
      <w:r w:rsidR="00B86545">
        <w:rPr>
          <w:rFonts w:cs="Arial"/>
          <w:highlight w:val="yellow"/>
        </w:rPr>
        <w:t>–</w:t>
      </w:r>
      <w:r w:rsidR="00A72009" w:rsidRPr="00163BB2">
        <w:rPr>
          <w:highlight w:val="yellow"/>
        </w:rPr>
        <w:t xml:space="preserve">600 </w:t>
      </w:r>
      <w:r w:rsidR="00E16244" w:rsidRPr="00870CA8">
        <w:t>µ</w:t>
      </w:r>
      <w:r w:rsidR="00A72009" w:rsidRPr="00870CA8">
        <w:t>g/m</w:t>
      </w:r>
      <w:r w:rsidR="00A72009" w:rsidRPr="00870CA8">
        <w:rPr>
          <w:vertAlign w:val="superscript"/>
        </w:rPr>
        <w:t>3</w:t>
      </w:r>
      <w:r w:rsidR="00A72009" w:rsidRPr="00870CA8">
        <w:t xml:space="preserve">), and </w:t>
      </w:r>
      <w:r w:rsidR="00A72009" w:rsidRPr="00163BB2">
        <w:rPr>
          <w:highlight w:val="yellow"/>
        </w:rPr>
        <w:t xml:space="preserve">XX </w:t>
      </w:r>
      <w:r w:rsidR="00A72009" w:rsidRPr="00870CA8">
        <w:t xml:space="preserve">were in the </w:t>
      </w:r>
      <w:r w:rsidR="00A72009" w:rsidRPr="00163BB2">
        <w:rPr>
          <w:highlight w:val="yellow"/>
        </w:rPr>
        <w:t xml:space="preserve">Critical </w:t>
      </w:r>
      <w:r w:rsidR="00A72009" w:rsidRPr="00870CA8">
        <w:t xml:space="preserve">hazard severity range </w:t>
      </w:r>
      <w:r w:rsidR="00A72009" w:rsidRPr="00601E1D">
        <w:rPr>
          <w:highlight w:val="yellow"/>
        </w:rPr>
        <w:t>(</w:t>
      </w:r>
      <w:r w:rsidR="00A72009">
        <w:rPr>
          <w:highlight w:val="yellow"/>
        </w:rPr>
        <w:t>&gt; 600</w:t>
      </w:r>
      <w:r w:rsidR="00A72009" w:rsidRPr="00601E1D">
        <w:rPr>
          <w:highlight w:val="yellow"/>
        </w:rPr>
        <w:t xml:space="preserve"> </w:t>
      </w:r>
      <w:r w:rsidR="00E16244" w:rsidRPr="00870CA8">
        <w:t>µ</w:t>
      </w:r>
      <w:r w:rsidR="00A72009" w:rsidRPr="00870CA8">
        <w:t>g/m</w:t>
      </w:r>
      <w:r w:rsidR="00A72009" w:rsidRPr="00870CA8">
        <w:rPr>
          <w:vertAlign w:val="superscript"/>
        </w:rPr>
        <w:t>3</w:t>
      </w:r>
      <w:r w:rsidR="00A72009" w:rsidRPr="00870CA8">
        <w:t xml:space="preserve">). </w:t>
      </w:r>
      <w:r w:rsidR="00ED3273" w:rsidRPr="00163BB2">
        <w:rPr>
          <w:highlight w:val="yellow"/>
        </w:rPr>
        <w:t xml:space="preserve">For exposures at the Negligible hazard severity level, </w:t>
      </w:r>
      <w:r w:rsidR="00ED3273" w:rsidRPr="00163BB2">
        <w:rPr>
          <w:iCs/>
          <w:highlight w:val="yellow"/>
        </w:rPr>
        <w:t xml:space="preserve">a </w:t>
      </w:r>
      <w:r w:rsidR="00ED3273" w:rsidRPr="00601E1D">
        <w:rPr>
          <w:iCs/>
          <w:highlight w:val="yellow"/>
        </w:rPr>
        <w:t>few personnel may experience notable eye, nose, and throat irritation; most personnel will experience only mild effects</w:t>
      </w:r>
      <w:r w:rsidR="0053222F">
        <w:rPr>
          <w:iCs/>
        </w:rPr>
        <w:t xml:space="preserve">. </w:t>
      </w:r>
      <w:r w:rsidR="00ED3273" w:rsidRPr="00163BB2">
        <w:rPr>
          <w:highlight w:val="yellow"/>
        </w:rPr>
        <w:t xml:space="preserve">For exposures at the </w:t>
      </w:r>
      <w:r w:rsidR="00ED3273" w:rsidRPr="00163BB2">
        <w:rPr>
          <w:bCs/>
          <w:highlight w:val="yellow"/>
        </w:rPr>
        <w:t xml:space="preserve">Marginal </w:t>
      </w:r>
      <w:r w:rsidR="00ED3273" w:rsidRPr="00163BB2">
        <w:rPr>
          <w:highlight w:val="yellow"/>
        </w:rPr>
        <w:t xml:space="preserve">hazard severity level, </w:t>
      </w:r>
      <w:proofErr w:type="gramStart"/>
      <w:r w:rsidR="00ED3273" w:rsidRPr="00163BB2">
        <w:rPr>
          <w:highlight w:val="yellow"/>
        </w:rPr>
        <w:t>a majority of</w:t>
      </w:r>
      <w:proofErr w:type="gramEnd"/>
      <w:r w:rsidR="00ED3273" w:rsidRPr="00163BB2">
        <w:rPr>
          <w:highlight w:val="yellow"/>
        </w:rPr>
        <w:t xml:space="preserve"> pe</w:t>
      </w:r>
      <w:r w:rsidR="00A72009" w:rsidRPr="00163BB2">
        <w:rPr>
          <w:highlight w:val="yellow"/>
        </w:rPr>
        <w:t>rsonnel</w:t>
      </w:r>
      <w:r w:rsidR="00ED3273" w:rsidRPr="00163BB2">
        <w:rPr>
          <w:highlight w:val="yellow"/>
        </w:rPr>
        <w:t xml:space="preserve"> will experience notable eye, nose, and throat irritation and some respiratory effects. Some lost</w:t>
      </w:r>
      <w:r w:rsidR="000755F2">
        <w:rPr>
          <w:highlight w:val="yellow"/>
        </w:rPr>
        <w:t>-</w:t>
      </w:r>
      <w:r w:rsidR="00ED3273" w:rsidRPr="00163BB2">
        <w:rPr>
          <w:highlight w:val="yellow"/>
        </w:rPr>
        <w:t>duty days are expected</w:t>
      </w:r>
      <w:r w:rsidR="00A72009" w:rsidRPr="00163BB2">
        <w:rPr>
          <w:highlight w:val="yellow"/>
        </w:rPr>
        <w:t xml:space="preserve">. For exposures at the Critical hazard severity level, most if not all personnel will experience very notable </w:t>
      </w:r>
      <w:r w:rsidR="00A72009" w:rsidRPr="00601E1D">
        <w:rPr>
          <w:highlight w:val="yellow"/>
        </w:rPr>
        <w:t>eye, nose, and throat irritation and respiratory effects</w:t>
      </w:r>
      <w:r w:rsidR="00A72009">
        <w:t xml:space="preserve">. </w:t>
      </w:r>
      <w:r w:rsidR="00A72009" w:rsidRPr="00163BB2">
        <w:rPr>
          <w:highlight w:val="yellow"/>
        </w:rPr>
        <w:t>Visual acuity is impaired, as is overall aerobic capacity.</w:t>
      </w:r>
      <w:r w:rsidR="00163BB2">
        <w:rPr>
          <w:highlight w:val="yellow"/>
        </w:rPr>
        <w:t xml:space="preserve"> </w:t>
      </w:r>
      <w:r w:rsidR="00163BB2" w:rsidRPr="00601E1D">
        <w:rPr>
          <w:highlight w:val="yellow"/>
        </w:rPr>
        <w:t>Some lost</w:t>
      </w:r>
      <w:r w:rsidR="000755F2">
        <w:rPr>
          <w:highlight w:val="yellow"/>
        </w:rPr>
        <w:t>-</w:t>
      </w:r>
      <w:r w:rsidR="00163BB2" w:rsidRPr="00601E1D">
        <w:rPr>
          <w:highlight w:val="yellow"/>
        </w:rPr>
        <w:t>duty days are expected</w:t>
      </w:r>
      <w:r w:rsidR="00163BB2">
        <w:t xml:space="preserve"> </w:t>
      </w:r>
      <w:r w:rsidR="00ED3273" w:rsidRPr="006119B8">
        <w:t>(</w:t>
      </w:r>
      <w:r w:rsidR="00ED3273" w:rsidRPr="00622E42">
        <w:t>Reference</w:t>
      </w:r>
      <w:r w:rsidR="00ED3273" w:rsidRPr="00ED3273">
        <w:rPr>
          <w:highlight w:val="yellow"/>
        </w:rPr>
        <w:t xml:space="preserve"> </w:t>
      </w:r>
      <w:r w:rsidR="00622E42" w:rsidRPr="00622E42">
        <w:rPr>
          <w:highlight w:val="yellow"/>
        </w:rPr>
        <w:t>XX</w:t>
      </w:r>
      <w:r w:rsidR="00ED3273">
        <w:t>,</w:t>
      </w:r>
      <w:r w:rsidR="00ED3273" w:rsidRPr="006119B8">
        <w:t xml:space="preserve"> Table 3-</w:t>
      </w:r>
      <w:r w:rsidR="00ED3273">
        <w:t>11)</w:t>
      </w:r>
      <w:r w:rsidR="00ED3273" w:rsidRPr="006119B8">
        <w:t>.</w:t>
      </w:r>
    </w:p>
    <w:p w14:paraId="1496C446" w14:textId="77777777" w:rsidR="00F72C74" w:rsidRPr="00A74718" w:rsidRDefault="00F72C74" w:rsidP="0051520C"/>
    <w:p w14:paraId="76F46188" w14:textId="4C11B665" w:rsidR="00F72C74" w:rsidRPr="00A74718" w:rsidRDefault="00F72C74" w:rsidP="00FD4769">
      <w:pPr>
        <w:pStyle w:val="Heading3"/>
      </w:pPr>
      <w:r w:rsidRPr="00A74718">
        <w:t xml:space="preserve">Long-term </w:t>
      </w:r>
      <w:r w:rsidR="000D09F5" w:rsidRPr="00A74718">
        <w:t>Health Risks</w:t>
      </w:r>
      <w:r w:rsidRPr="00A74718">
        <w:t>:</w:t>
      </w:r>
    </w:p>
    <w:p w14:paraId="184E8FC7" w14:textId="77777777" w:rsidR="00F72C74" w:rsidRPr="00A74718" w:rsidRDefault="00F72C74" w:rsidP="0051520C"/>
    <w:p w14:paraId="18EE7207" w14:textId="0E4CF693" w:rsidR="00F72C74" w:rsidRPr="00A74718" w:rsidRDefault="00FE3A97" w:rsidP="0051520C">
      <w:r>
        <w:rPr>
          <w:bCs/>
        </w:rPr>
        <w:t>There are</w:t>
      </w:r>
      <w:r w:rsidRPr="002F796E">
        <w:rPr>
          <w:bCs/>
        </w:rPr>
        <w:t xml:space="preserve"> no available health guidelines</w:t>
      </w:r>
      <w:r>
        <w:t xml:space="preserve"> </w:t>
      </w:r>
      <w:r w:rsidRPr="002F796E">
        <w:t>to assess the health risks from exposure to PM</w:t>
      </w:r>
      <w:r w:rsidRPr="00424231">
        <w:rPr>
          <w:rStyle w:val="StyleSubscript"/>
        </w:rPr>
        <w:t>10.</w:t>
      </w:r>
      <w:r w:rsidR="00F72C74" w:rsidRPr="00A74718">
        <w:t xml:space="preserve"> </w:t>
      </w:r>
    </w:p>
    <w:p w14:paraId="467C9C94" w14:textId="6F5A3888" w:rsidR="000012AE" w:rsidRPr="00A74718" w:rsidRDefault="000012AE" w:rsidP="0051520C"/>
    <w:p w14:paraId="5E1AE519" w14:textId="65BEE786" w:rsidR="00AA5EE2" w:rsidRPr="00A74718" w:rsidRDefault="00AA5EE2" w:rsidP="00580B36">
      <w:pPr>
        <w:pStyle w:val="Heading2"/>
        <w:rPr>
          <w:szCs w:val="26"/>
        </w:rPr>
      </w:pPr>
      <w:r w:rsidRPr="00F0720A">
        <w:t>Particulate Matter, less than 2.5 micrometers</w:t>
      </w:r>
    </w:p>
    <w:p w14:paraId="41899340" w14:textId="19581A8E" w:rsidR="00C37899" w:rsidRPr="00A74718" w:rsidRDefault="00C37899" w:rsidP="0051520C"/>
    <w:p w14:paraId="4A971CC8" w14:textId="5BD0EEEC" w:rsidR="003D729C" w:rsidRPr="002E5607" w:rsidRDefault="003D729C" w:rsidP="00976604">
      <w:pPr>
        <w:pStyle w:val="Heading3"/>
        <w:rPr>
          <w:iCs/>
          <w:highlight w:val="yellow"/>
        </w:rPr>
      </w:pPr>
      <w:commentRangeStart w:id="30"/>
      <w:r w:rsidRPr="002E5607">
        <w:rPr>
          <w:highlight w:val="yellow"/>
        </w:rPr>
        <w:t xml:space="preserve">Exposure </w:t>
      </w:r>
      <w:commentRangeEnd w:id="30"/>
      <w:r w:rsidR="00C87710">
        <w:rPr>
          <w:rStyle w:val="CommentReference"/>
          <w:color w:val="auto"/>
        </w:rPr>
        <w:commentReference w:id="30"/>
      </w:r>
      <w:r w:rsidRPr="002E5607">
        <w:rPr>
          <w:highlight w:val="yellow"/>
        </w:rPr>
        <w:t>Guidelines</w:t>
      </w:r>
      <w:r w:rsidRPr="002E5607">
        <w:rPr>
          <w:iCs/>
          <w:highlight w:val="yellow"/>
        </w:rPr>
        <w:t>:</w:t>
      </w:r>
    </w:p>
    <w:p w14:paraId="2237F2A9" w14:textId="77777777" w:rsidR="003D729C" w:rsidRPr="002E5607" w:rsidRDefault="003D729C" w:rsidP="0051520C">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3D729C" w:rsidRPr="002E5607" w14:paraId="6DABEC0B" w14:textId="77777777" w:rsidTr="00881B0B">
        <w:tc>
          <w:tcPr>
            <w:tcW w:w="5041" w:type="dxa"/>
          </w:tcPr>
          <w:p w14:paraId="5764F43E" w14:textId="671E69CD" w:rsidR="003D729C" w:rsidRPr="002E5607" w:rsidRDefault="005A1DD6" w:rsidP="0051520C">
            <w:pPr>
              <w:rPr>
                <w:highlight w:val="yellow"/>
              </w:rPr>
            </w:pPr>
            <w:r>
              <w:rPr>
                <w:highlight w:val="yellow"/>
              </w:rPr>
              <w:t>Short-t</w:t>
            </w:r>
            <w:r w:rsidR="003D729C" w:rsidRPr="002E5607">
              <w:rPr>
                <w:highlight w:val="yellow"/>
              </w:rPr>
              <w:t>erm (24-hour) PM</w:t>
            </w:r>
            <w:r w:rsidR="003D729C" w:rsidRPr="00424231">
              <w:rPr>
                <w:rStyle w:val="StyleSubscript"/>
                <w:highlight w:val="yellow"/>
              </w:rPr>
              <w:t>2.5</w:t>
            </w:r>
            <w:r w:rsidR="005E69DC" w:rsidRPr="002E5607">
              <w:rPr>
                <w:highlight w:val="yellow"/>
              </w:rPr>
              <w:t xml:space="preserve"> MEG</w:t>
            </w:r>
            <w:r w:rsidR="003D729C" w:rsidRPr="002E5607">
              <w:rPr>
                <w:highlight w:val="yellow"/>
              </w:rPr>
              <w:t xml:space="preserve"> (µg/m</w:t>
            </w:r>
            <w:r w:rsidR="003D729C" w:rsidRPr="002E5607">
              <w:rPr>
                <w:highlight w:val="yellow"/>
                <w:vertAlign w:val="superscript"/>
              </w:rPr>
              <w:t>3</w:t>
            </w:r>
            <w:r w:rsidR="003D729C" w:rsidRPr="002E5607">
              <w:rPr>
                <w:highlight w:val="yellow"/>
              </w:rPr>
              <w:t>):</w:t>
            </w:r>
          </w:p>
        </w:tc>
        <w:tc>
          <w:tcPr>
            <w:tcW w:w="5039" w:type="dxa"/>
          </w:tcPr>
          <w:p w14:paraId="56FAC6DD" w14:textId="77777777" w:rsidR="003D729C" w:rsidRPr="002E5607" w:rsidRDefault="003D729C" w:rsidP="0051520C">
            <w:pPr>
              <w:rPr>
                <w:highlight w:val="yellow"/>
              </w:rPr>
            </w:pPr>
            <w:r w:rsidRPr="002E5607">
              <w:rPr>
                <w:highlight w:val="yellow"/>
              </w:rPr>
              <w:t>Long-term (1-year) PM</w:t>
            </w:r>
            <w:r w:rsidRPr="00424231">
              <w:rPr>
                <w:rStyle w:val="StyleSubscript"/>
                <w:highlight w:val="yellow"/>
              </w:rPr>
              <w:t xml:space="preserve">2.5 </w:t>
            </w:r>
            <w:r w:rsidRPr="002E5607">
              <w:rPr>
                <w:highlight w:val="yellow"/>
              </w:rPr>
              <w:t>MEGs (µg/m</w:t>
            </w:r>
            <w:r w:rsidRPr="002E5607">
              <w:rPr>
                <w:highlight w:val="yellow"/>
                <w:vertAlign w:val="superscript"/>
              </w:rPr>
              <w:t>3</w:t>
            </w:r>
            <w:r w:rsidRPr="002E5607">
              <w:rPr>
                <w:highlight w:val="yellow"/>
              </w:rPr>
              <w:t>):</w:t>
            </w:r>
          </w:p>
        </w:tc>
      </w:tr>
      <w:tr w:rsidR="003D729C" w:rsidRPr="002E5607" w14:paraId="77415A30" w14:textId="77777777" w:rsidTr="00881B0B">
        <w:tc>
          <w:tcPr>
            <w:tcW w:w="5041" w:type="dxa"/>
          </w:tcPr>
          <w:p w14:paraId="778B4114" w14:textId="77777777" w:rsidR="003D729C" w:rsidRPr="002E5607" w:rsidRDefault="003D729C" w:rsidP="00F704C7">
            <w:pPr>
              <w:pStyle w:val="ListParagraph"/>
              <w:numPr>
                <w:ilvl w:val="0"/>
                <w:numId w:val="1"/>
              </w:numPr>
              <w:rPr>
                <w:highlight w:val="yellow"/>
              </w:rPr>
            </w:pPr>
            <w:r w:rsidRPr="002E5607">
              <w:rPr>
                <w:highlight w:val="yellow"/>
              </w:rPr>
              <w:t>Negligible MEG = 65</w:t>
            </w:r>
          </w:p>
        </w:tc>
        <w:tc>
          <w:tcPr>
            <w:tcW w:w="5039" w:type="dxa"/>
          </w:tcPr>
          <w:p w14:paraId="344C8970" w14:textId="77777777" w:rsidR="003D729C" w:rsidRPr="002E5607" w:rsidRDefault="003D729C" w:rsidP="00F704C7">
            <w:pPr>
              <w:pStyle w:val="ListParagraph"/>
              <w:numPr>
                <w:ilvl w:val="0"/>
                <w:numId w:val="2"/>
              </w:numPr>
              <w:rPr>
                <w:highlight w:val="yellow"/>
              </w:rPr>
            </w:pPr>
            <w:r w:rsidRPr="002E5607">
              <w:rPr>
                <w:highlight w:val="yellow"/>
              </w:rPr>
              <w:t>Negligible MEG = 15</w:t>
            </w:r>
          </w:p>
        </w:tc>
      </w:tr>
      <w:tr w:rsidR="003D729C" w:rsidRPr="00974304" w14:paraId="0DEB6562" w14:textId="77777777" w:rsidTr="00881B0B">
        <w:tc>
          <w:tcPr>
            <w:tcW w:w="5041" w:type="dxa"/>
          </w:tcPr>
          <w:p w14:paraId="5336A1D5" w14:textId="4CAC24F9" w:rsidR="003D729C" w:rsidRPr="002E5607" w:rsidRDefault="003D729C" w:rsidP="00F704C7">
            <w:pPr>
              <w:pStyle w:val="ListParagraph"/>
              <w:numPr>
                <w:ilvl w:val="0"/>
                <w:numId w:val="1"/>
              </w:numPr>
              <w:rPr>
                <w:highlight w:val="yellow"/>
              </w:rPr>
            </w:pPr>
            <w:r w:rsidRPr="002E5607">
              <w:rPr>
                <w:highlight w:val="yellow"/>
              </w:rPr>
              <w:t>Marginal MEG = 250</w:t>
            </w:r>
          </w:p>
          <w:p w14:paraId="031341F9" w14:textId="051BD502" w:rsidR="005E69DC" w:rsidRPr="002E5607" w:rsidRDefault="005E69DC" w:rsidP="00F704C7">
            <w:pPr>
              <w:pStyle w:val="ListParagraph"/>
              <w:numPr>
                <w:ilvl w:val="0"/>
                <w:numId w:val="1"/>
              </w:numPr>
              <w:rPr>
                <w:highlight w:val="yellow"/>
              </w:rPr>
            </w:pPr>
            <w:r w:rsidRPr="002E5607">
              <w:rPr>
                <w:highlight w:val="yellow"/>
              </w:rPr>
              <w:t>Critical MEG = 500</w:t>
            </w:r>
          </w:p>
          <w:p w14:paraId="212DCEBD" w14:textId="0B21F105" w:rsidR="00666C43" w:rsidRPr="002E5607" w:rsidRDefault="00666C43" w:rsidP="0051520C">
            <w:pPr>
              <w:rPr>
                <w:highlight w:val="yellow"/>
              </w:rPr>
            </w:pPr>
          </w:p>
        </w:tc>
        <w:tc>
          <w:tcPr>
            <w:tcW w:w="5039" w:type="dxa"/>
          </w:tcPr>
          <w:p w14:paraId="7560E054" w14:textId="77777777" w:rsidR="003D729C" w:rsidRDefault="003D729C" w:rsidP="0051520C">
            <w:r w:rsidRPr="002E5607">
              <w:rPr>
                <w:sz w:val="28"/>
                <w:szCs w:val="28"/>
                <w:highlight w:val="yellow"/>
              </w:rPr>
              <w:t>•</w:t>
            </w:r>
            <w:r w:rsidRPr="002E5607">
              <w:rPr>
                <w:highlight w:val="yellow"/>
              </w:rPr>
              <w:t xml:space="preserve">    Marginal MEG = 65.</w:t>
            </w:r>
          </w:p>
          <w:p w14:paraId="208AF526" w14:textId="77777777" w:rsidR="003D729C" w:rsidRPr="00974304" w:rsidRDefault="003D729C" w:rsidP="0051520C"/>
        </w:tc>
      </w:tr>
    </w:tbl>
    <w:p w14:paraId="1A9D2B62" w14:textId="012D2D6B" w:rsidR="003D729C" w:rsidRPr="00A74718" w:rsidRDefault="003D729C" w:rsidP="00FD4769">
      <w:pPr>
        <w:pStyle w:val="Heading3"/>
      </w:pPr>
      <w:r w:rsidRPr="00A74718">
        <w:t xml:space="preserve">Sample </w:t>
      </w:r>
      <w:r w:rsidR="000D09F5" w:rsidRPr="00A74718">
        <w:t>Data/</w:t>
      </w:r>
      <w:r w:rsidR="000D09F5">
        <w:t>N</w:t>
      </w:r>
      <w:r w:rsidR="000D09F5" w:rsidRPr="00A74718">
        <w:t>otes</w:t>
      </w:r>
      <w:r w:rsidRPr="00A74718">
        <w:t>:</w:t>
      </w:r>
    </w:p>
    <w:p w14:paraId="1A960CB8" w14:textId="77777777" w:rsidR="003D729C" w:rsidRPr="00A74718" w:rsidRDefault="003D729C" w:rsidP="0051520C"/>
    <w:p w14:paraId="0972B894" w14:textId="6AC31E37" w:rsidR="003D729C" w:rsidRDefault="003D729C" w:rsidP="0051520C">
      <w:pPr>
        <w:rPr>
          <w:highlight w:val="yellow"/>
        </w:rPr>
      </w:pPr>
      <w:commentRangeStart w:id="31"/>
      <w:r w:rsidRPr="00FF1F6A">
        <w:t>A</w:t>
      </w:r>
      <w:commentRangeEnd w:id="31"/>
      <w:r w:rsidR="007365AA">
        <w:rPr>
          <w:rStyle w:val="CommentReference"/>
        </w:rPr>
        <w:commentReference w:id="31"/>
      </w:r>
      <w:r w:rsidRPr="00FF1F6A">
        <w:t xml:space="preserve"> total of </w:t>
      </w:r>
      <w:r w:rsidR="00ED3273" w:rsidRPr="00ED3273">
        <w:rPr>
          <w:highlight w:val="yellow"/>
        </w:rPr>
        <w:t>XX</w:t>
      </w:r>
      <w:r w:rsidRPr="00A74718">
        <w:t xml:space="preserve"> valid </w:t>
      </w:r>
      <w:r w:rsidRPr="00F83550">
        <w:t>PM</w:t>
      </w:r>
      <w:r w:rsidRPr="00424231">
        <w:rPr>
          <w:rStyle w:val="StyleSubscript"/>
        </w:rPr>
        <w:t>2.5</w:t>
      </w:r>
      <w:r w:rsidRPr="00F83550">
        <w:t xml:space="preserve"> </w:t>
      </w:r>
      <w:r w:rsidRPr="00A74718">
        <w:t>air sample</w:t>
      </w:r>
      <w:r>
        <w:t>s</w:t>
      </w:r>
      <w:r w:rsidRPr="00A74718">
        <w:t xml:space="preserve"> w</w:t>
      </w:r>
      <w:r>
        <w:t>ere</w:t>
      </w:r>
      <w:r w:rsidRPr="00A74718">
        <w:t xml:space="preserve"> collected </w:t>
      </w:r>
      <w:r>
        <w:t>from</w:t>
      </w:r>
      <w:r w:rsidRPr="00A74718">
        <w:t xml:space="preserve"> </w:t>
      </w:r>
      <w:r w:rsidR="00ED3273">
        <w:rPr>
          <w:highlight w:val="yellow"/>
        </w:rPr>
        <w:t>Year</w:t>
      </w:r>
      <w:r w:rsidRPr="003D729C">
        <w:rPr>
          <w:highlight w:val="yellow"/>
        </w:rPr>
        <w:t xml:space="preserve"> </w:t>
      </w:r>
      <w:r w:rsidR="00E6108F">
        <w:t>to</w:t>
      </w:r>
      <w:r w:rsidRPr="003D729C">
        <w:rPr>
          <w:highlight w:val="yellow"/>
        </w:rPr>
        <w:t xml:space="preserve"> </w:t>
      </w:r>
      <w:r w:rsidR="00ED3273" w:rsidRPr="00B72DDF">
        <w:rPr>
          <w:highlight w:val="yellow"/>
        </w:rPr>
        <w:t>Year</w:t>
      </w:r>
      <w:r w:rsidRPr="00A74718">
        <w:t xml:space="preserve"> at </w:t>
      </w:r>
      <w:r w:rsidRPr="003D729C">
        <w:rPr>
          <w:highlight w:val="green"/>
        </w:rPr>
        <w:t>Camp XXX</w:t>
      </w:r>
      <w:r w:rsidRPr="008A2393">
        <w:t xml:space="preserve">. </w:t>
      </w:r>
      <w:r w:rsidR="0049531E" w:rsidRPr="00E847F2">
        <w:rPr>
          <w:highlight w:val="yellow"/>
        </w:rPr>
        <w:t>When more than one sample was collected on a single day, the PM</w:t>
      </w:r>
      <w:r w:rsidR="00FA1A7D" w:rsidRPr="00424231">
        <w:rPr>
          <w:rStyle w:val="StyleSubscript"/>
          <w:highlight w:val="yellow"/>
        </w:rPr>
        <w:t>2.5</w:t>
      </w:r>
      <w:r w:rsidR="0049531E" w:rsidRPr="00E847F2">
        <w:rPr>
          <w:highlight w:val="yellow"/>
        </w:rPr>
        <w:t xml:space="preserve"> concentrations were averaged to provide a daily </w:t>
      </w:r>
      <w:r w:rsidR="0049531E">
        <w:rPr>
          <w:highlight w:val="yellow"/>
        </w:rPr>
        <w:t>concentration</w:t>
      </w:r>
      <w:r w:rsidR="0049531E" w:rsidRPr="007E63C9">
        <w:rPr>
          <w:highlight w:val="yellow"/>
        </w:rPr>
        <w:t xml:space="preserve">. </w:t>
      </w:r>
      <w:r w:rsidRPr="007829B8">
        <w:t>The range of 24-hour PM</w:t>
      </w:r>
      <w:r w:rsidR="00ED3273" w:rsidRPr="00424231">
        <w:rPr>
          <w:rStyle w:val="StyleSubscript"/>
        </w:rPr>
        <w:t>2.5</w:t>
      </w:r>
      <w:r w:rsidRPr="007829B8">
        <w:t xml:space="preserve"> concentrations was </w:t>
      </w:r>
      <w:r w:rsidRPr="007E63C9">
        <w:rPr>
          <w:highlight w:val="yellow"/>
        </w:rPr>
        <w:t xml:space="preserve">XX </w:t>
      </w:r>
      <w:r w:rsidRPr="007829B8">
        <w:t>µg/m</w:t>
      </w:r>
      <w:r w:rsidRPr="007829B8">
        <w:rPr>
          <w:vertAlign w:val="superscript"/>
        </w:rPr>
        <w:t>3</w:t>
      </w:r>
      <w:r w:rsidRPr="007829B8">
        <w:t xml:space="preserve"> </w:t>
      </w:r>
      <w:r w:rsidRPr="00695624">
        <w:t xml:space="preserve">– </w:t>
      </w:r>
      <w:r>
        <w:rPr>
          <w:highlight w:val="yellow"/>
        </w:rPr>
        <w:t>XX</w:t>
      </w:r>
      <w:r w:rsidRPr="00A954F7">
        <w:rPr>
          <w:highlight w:val="yellow"/>
        </w:rPr>
        <w:t xml:space="preserve"> </w:t>
      </w:r>
      <w:r w:rsidRPr="00695624">
        <w:t>µg/m</w:t>
      </w:r>
      <w:r w:rsidRPr="00695624">
        <w:rPr>
          <w:vertAlign w:val="superscript"/>
        </w:rPr>
        <w:t>3</w:t>
      </w:r>
      <w:r w:rsidRPr="00695624">
        <w:t xml:space="preserve"> with an average concentration of </w:t>
      </w:r>
      <w:r w:rsidRPr="007E63C9">
        <w:rPr>
          <w:highlight w:val="yellow"/>
        </w:rPr>
        <w:t xml:space="preserve">XX </w:t>
      </w:r>
      <w:r w:rsidRPr="00695624">
        <w:t>µg/m</w:t>
      </w:r>
      <w:r w:rsidRPr="00695624">
        <w:rPr>
          <w:vertAlign w:val="superscript"/>
        </w:rPr>
        <w:t>3</w:t>
      </w:r>
      <w:r w:rsidRPr="00695624">
        <w:t>.</w:t>
      </w:r>
      <w:r w:rsidR="007507B9" w:rsidRPr="00695624">
        <w:t xml:space="preserve"> </w:t>
      </w:r>
      <w:r w:rsidR="00CE7AF8" w:rsidRPr="006E335E">
        <w:rPr>
          <w:color w:val="0070C0"/>
        </w:rPr>
        <w:t>[Use integers for all PM concentrations.]</w:t>
      </w:r>
      <w:r w:rsidR="00CE7AF8">
        <w:rPr>
          <w:color w:val="FF0000"/>
        </w:rPr>
        <w:t xml:space="preserve"> </w:t>
      </w:r>
      <w:r w:rsidR="007507B9" w:rsidRPr="007E63C9">
        <w:rPr>
          <w:highlight w:val="yellow"/>
        </w:rPr>
        <w:t xml:space="preserve">Note that XX additional samples were </w:t>
      </w:r>
      <w:r w:rsidR="0049531E" w:rsidRPr="007E63C9">
        <w:rPr>
          <w:highlight w:val="yellow"/>
        </w:rPr>
        <w:t xml:space="preserve">collected but </w:t>
      </w:r>
      <w:r w:rsidR="007507B9" w:rsidRPr="007E63C9">
        <w:rPr>
          <w:highlight w:val="yellow"/>
        </w:rPr>
        <w:t>invalid due to equipment or laboratory errors</w:t>
      </w:r>
      <w:r w:rsidR="0022573B">
        <w:rPr>
          <w:highlight w:val="yellow"/>
        </w:rPr>
        <w:t>.</w:t>
      </w:r>
    </w:p>
    <w:p w14:paraId="1E3609D7" w14:textId="0D2691C4" w:rsidR="0022573B" w:rsidRDefault="0022573B" w:rsidP="0051520C"/>
    <w:p w14:paraId="40DC44DD" w14:textId="3BCF4F74" w:rsidR="004809BB" w:rsidRPr="004809BB" w:rsidRDefault="004809BB" w:rsidP="0051520C">
      <w:pPr>
        <w:rPr>
          <w:b/>
          <w:bCs/>
          <w:color w:val="0070C0"/>
        </w:rPr>
      </w:pPr>
      <w:r w:rsidRPr="004809BB">
        <w:rPr>
          <w:b/>
          <w:bCs/>
          <w:color w:val="0070C0"/>
        </w:rPr>
        <w:t>[Include this paragraph if you have NASA data. Omit if no NASA data.]</w:t>
      </w:r>
    </w:p>
    <w:p w14:paraId="1438BF1F" w14:textId="77777777" w:rsidR="004809BB" w:rsidRDefault="004809BB" w:rsidP="0051520C">
      <w:pPr>
        <w:rPr>
          <w:highlight w:val="yellow"/>
        </w:rPr>
      </w:pPr>
    </w:p>
    <w:p w14:paraId="2464F60E" w14:textId="0BA7D67E" w:rsidR="0022573B" w:rsidRDefault="0022573B" w:rsidP="0051520C">
      <w:r w:rsidRPr="007E696D">
        <w:rPr>
          <w:highlight w:val="yellow"/>
        </w:rPr>
        <w:t>Hourly PM</w:t>
      </w:r>
      <w:r w:rsidRPr="00424231">
        <w:rPr>
          <w:rStyle w:val="StyleSubscript"/>
          <w:highlight w:val="yellow"/>
        </w:rPr>
        <w:t xml:space="preserve">2.5 </w:t>
      </w:r>
      <w:r w:rsidRPr="007E696D">
        <w:rPr>
          <w:highlight w:val="yellow"/>
        </w:rPr>
        <w:t>data w</w:t>
      </w:r>
      <w:r w:rsidR="001A14C7">
        <w:rPr>
          <w:highlight w:val="yellow"/>
        </w:rPr>
        <w:t>ere</w:t>
      </w:r>
      <w:r w:rsidRPr="007E696D">
        <w:rPr>
          <w:highlight w:val="yellow"/>
        </w:rPr>
        <w:t xml:space="preserve"> available from the GEOS-CF model</w:t>
      </w:r>
      <w:r w:rsidR="00D7193D">
        <w:rPr>
          <w:highlight w:val="yellow"/>
        </w:rPr>
        <w:t xml:space="preserve"> </w:t>
      </w:r>
      <w:r w:rsidRPr="007E696D">
        <w:rPr>
          <w:highlight w:val="yellow"/>
        </w:rPr>
        <w:t xml:space="preserve">for </w:t>
      </w:r>
      <w:r w:rsidRPr="00A32BDB">
        <w:rPr>
          <w:highlight w:val="green"/>
        </w:rPr>
        <w:t>Camp XX</w:t>
      </w:r>
      <w:r w:rsidRPr="007E696D">
        <w:rPr>
          <w:highlight w:val="green"/>
        </w:rPr>
        <w:t>X</w:t>
      </w:r>
      <w:r w:rsidRPr="007E696D">
        <w:rPr>
          <w:highlight w:val="yellow"/>
        </w:rPr>
        <w:t>. Th</w:t>
      </w:r>
      <w:r w:rsidR="001A14C7">
        <w:rPr>
          <w:highlight w:val="yellow"/>
        </w:rPr>
        <w:t>ese</w:t>
      </w:r>
      <w:r w:rsidRPr="007E696D">
        <w:rPr>
          <w:highlight w:val="yellow"/>
        </w:rPr>
        <w:t xml:space="preserve"> </w:t>
      </w:r>
      <w:r w:rsidR="007D06E7">
        <w:rPr>
          <w:highlight w:val="yellow"/>
        </w:rPr>
        <w:t>mode</w:t>
      </w:r>
      <w:r w:rsidR="006B5954">
        <w:rPr>
          <w:highlight w:val="yellow"/>
        </w:rPr>
        <w:t>l</w:t>
      </w:r>
      <w:r w:rsidR="007365AA">
        <w:rPr>
          <w:highlight w:val="yellow"/>
        </w:rPr>
        <w:t xml:space="preserve">ed </w:t>
      </w:r>
      <w:r w:rsidRPr="007E696D">
        <w:rPr>
          <w:highlight w:val="yellow"/>
        </w:rPr>
        <w:t>data w</w:t>
      </w:r>
      <w:r w:rsidR="002748DB">
        <w:rPr>
          <w:highlight w:val="yellow"/>
        </w:rPr>
        <w:t>ere</w:t>
      </w:r>
      <w:r w:rsidRPr="007E696D">
        <w:rPr>
          <w:highlight w:val="yellow"/>
        </w:rPr>
        <w:t xml:space="preserve"> averaged into 24-hour daily </w:t>
      </w:r>
      <w:r w:rsidR="007365AA">
        <w:rPr>
          <w:highlight w:val="yellow"/>
        </w:rPr>
        <w:t xml:space="preserve">concentrations </w:t>
      </w:r>
      <w:r w:rsidRPr="007E696D">
        <w:rPr>
          <w:highlight w:val="yellow"/>
        </w:rPr>
        <w:t xml:space="preserve">for all of CY </w:t>
      </w:r>
      <w:r w:rsidRPr="007E696D">
        <w:rPr>
          <w:highlight w:val="green"/>
        </w:rPr>
        <w:t>Years</w:t>
      </w:r>
      <w:r w:rsidRPr="007E696D">
        <w:rPr>
          <w:highlight w:val="yellow"/>
        </w:rPr>
        <w:t xml:space="preserve"> </w:t>
      </w:r>
      <w:r w:rsidR="00C70EC9">
        <w:rPr>
          <w:highlight w:val="yellow"/>
        </w:rPr>
        <w:t xml:space="preserve">and </w:t>
      </w:r>
      <w:r w:rsidRPr="007E696D">
        <w:rPr>
          <w:highlight w:val="yellow"/>
        </w:rPr>
        <w:t>compare</w:t>
      </w:r>
      <w:r w:rsidR="00C70EC9">
        <w:rPr>
          <w:highlight w:val="yellow"/>
        </w:rPr>
        <w:t xml:space="preserve">d to </w:t>
      </w:r>
      <w:r w:rsidRPr="007E696D">
        <w:rPr>
          <w:highlight w:val="yellow"/>
        </w:rPr>
        <w:t xml:space="preserve">the short-term </w:t>
      </w:r>
      <w:r w:rsidR="002748DB">
        <w:rPr>
          <w:highlight w:val="yellow"/>
        </w:rPr>
        <w:t>(</w:t>
      </w:r>
      <w:r w:rsidRPr="007E696D">
        <w:rPr>
          <w:highlight w:val="yellow"/>
        </w:rPr>
        <w:t>24-hour</w:t>
      </w:r>
      <w:r w:rsidR="002748DB">
        <w:rPr>
          <w:highlight w:val="yellow"/>
        </w:rPr>
        <w:t>)</w:t>
      </w:r>
      <w:r w:rsidRPr="007E696D">
        <w:rPr>
          <w:highlight w:val="yellow"/>
        </w:rPr>
        <w:t xml:space="preserve"> PM</w:t>
      </w:r>
      <w:r w:rsidRPr="00424231">
        <w:rPr>
          <w:rStyle w:val="StyleSubscript"/>
          <w:highlight w:val="yellow"/>
        </w:rPr>
        <w:t xml:space="preserve">2.5 </w:t>
      </w:r>
      <w:r w:rsidR="002748DB">
        <w:rPr>
          <w:highlight w:val="yellow"/>
        </w:rPr>
        <w:t>MEG</w:t>
      </w:r>
      <w:r w:rsidR="007365AA">
        <w:rPr>
          <w:highlight w:val="yellow"/>
        </w:rPr>
        <w:t>s</w:t>
      </w:r>
      <w:r w:rsidR="002748DB">
        <w:rPr>
          <w:highlight w:val="yellow"/>
        </w:rPr>
        <w:t xml:space="preserve"> </w:t>
      </w:r>
      <w:r w:rsidRPr="007E696D">
        <w:rPr>
          <w:highlight w:val="yellow"/>
        </w:rPr>
        <w:t xml:space="preserve">(Reference </w:t>
      </w:r>
      <w:r>
        <w:rPr>
          <w:highlight w:val="yellow"/>
        </w:rPr>
        <w:t>XX</w:t>
      </w:r>
      <w:r w:rsidRPr="002748DB">
        <w:rPr>
          <w:highlight w:val="yellow"/>
        </w:rPr>
        <w:t xml:space="preserve">). </w:t>
      </w:r>
      <w:r w:rsidRPr="00B14D70">
        <w:rPr>
          <w:highlight w:val="yellow"/>
        </w:rPr>
        <w:t xml:space="preserve">The </w:t>
      </w:r>
      <w:r w:rsidRPr="00AC28DE">
        <w:rPr>
          <w:highlight w:val="yellow"/>
        </w:rPr>
        <w:t>range of 24-hour PM</w:t>
      </w:r>
      <w:r w:rsidRPr="00424231">
        <w:rPr>
          <w:rStyle w:val="StyleSubscript"/>
          <w:highlight w:val="yellow"/>
        </w:rPr>
        <w:t>2.5</w:t>
      </w:r>
      <w:r w:rsidRPr="00AC28DE">
        <w:rPr>
          <w:highlight w:val="yellow"/>
        </w:rPr>
        <w:t xml:space="preserve"> concentrations was </w:t>
      </w:r>
      <w:r w:rsidRPr="007E63C9">
        <w:rPr>
          <w:highlight w:val="yellow"/>
        </w:rPr>
        <w:t xml:space="preserve">XX </w:t>
      </w:r>
      <w:r w:rsidRPr="00A954F7">
        <w:rPr>
          <w:highlight w:val="yellow"/>
        </w:rPr>
        <w:t>µg/m</w:t>
      </w:r>
      <w:r w:rsidRPr="00A954F7">
        <w:rPr>
          <w:highlight w:val="yellow"/>
          <w:vertAlign w:val="superscript"/>
        </w:rPr>
        <w:t>3</w:t>
      </w:r>
      <w:r w:rsidRPr="00A954F7">
        <w:rPr>
          <w:highlight w:val="yellow"/>
        </w:rPr>
        <w:t xml:space="preserve"> – </w:t>
      </w:r>
      <w:r>
        <w:rPr>
          <w:highlight w:val="yellow"/>
        </w:rPr>
        <w:t>XX</w:t>
      </w:r>
      <w:r w:rsidRPr="00A954F7">
        <w:rPr>
          <w:highlight w:val="yellow"/>
        </w:rPr>
        <w:t xml:space="preserve"> µg/</w:t>
      </w:r>
      <w:r w:rsidRPr="007E63C9">
        <w:rPr>
          <w:highlight w:val="yellow"/>
        </w:rPr>
        <w:t>m</w:t>
      </w:r>
      <w:r w:rsidRPr="007E63C9">
        <w:rPr>
          <w:highlight w:val="yellow"/>
          <w:vertAlign w:val="superscript"/>
        </w:rPr>
        <w:t>3</w:t>
      </w:r>
      <w:r w:rsidRPr="007E63C9">
        <w:rPr>
          <w:highlight w:val="yellow"/>
        </w:rPr>
        <w:t xml:space="preserve"> with an average concentration of XX µg/m</w:t>
      </w:r>
      <w:r w:rsidRPr="007E63C9">
        <w:rPr>
          <w:highlight w:val="yellow"/>
          <w:vertAlign w:val="superscript"/>
        </w:rPr>
        <w:t>3</w:t>
      </w:r>
      <w:r w:rsidRPr="007E63C9">
        <w:rPr>
          <w:highlight w:val="yellow"/>
        </w:rPr>
        <w:t>.</w:t>
      </w:r>
    </w:p>
    <w:p w14:paraId="411F0527" w14:textId="7DB79239" w:rsidR="003D729C" w:rsidRDefault="003D729C" w:rsidP="0051520C"/>
    <w:p w14:paraId="070DD259" w14:textId="4A440A9A" w:rsidR="003D729C" w:rsidRDefault="003D729C" w:rsidP="00FD4769">
      <w:pPr>
        <w:pStyle w:val="Heading3"/>
      </w:pPr>
      <w:bookmarkStart w:id="32" w:name="PM25short"/>
      <w:r w:rsidRPr="00F83550">
        <w:t xml:space="preserve">Short-term </w:t>
      </w:r>
      <w:r w:rsidR="000D09F5" w:rsidRPr="00F83550">
        <w:t>Health Ris</w:t>
      </w:r>
      <w:r w:rsidRPr="00F83550">
        <w:t>ks:</w:t>
      </w:r>
    </w:p>
    <w:p w14:paraId="01CEC024" w14:textId="77777777" w:rsidR="004809BB" w:rsidRDefault="004809BB" w:rsidP="004809BB"/>
    <w:p w14:paraId="6DB8C403" w14:textId="7B5D0E25" w:rsidR="004809BB" w:rsidRPr="004809BB" w:rsidRDefault="004809BB" w:rsidP="004809BB">
      <w:pPr>
        <w:rPr>
          <w:rFonts w:cs="Arial"/>
          <w:b/>
          <w:bCs/>
          <w:color w:val="0070C0"/>
        </w:rPr>
      </w:pPr>
      <w:r w:rsidRPr="004809BB">
        <w:rPr>
          <w:rStyle w:val="cf01"/>
          <w:rFonts w:ascii="Arial" w:hAnsi="Arial" w:cs="Arial"/>
          <w:b/>
          <w:bCs/>
          <w:color w:val="0070C0"/>
          <w:sz w:val="24"/>
          <w:szCs w:val="24"/>
        </w:rPr>
        <w:t>[This is for a multiple year assessment using DPS data only]</w:t>
      </w:r>
    </w:p>
    <w:p w14:paraId="5D4318FC" w14:textId="44D21378" w:rsidR="003D729C" w:rsidRDefault="003D729C" w:rsidP="0051520C">
      <w:pPr>
        <w:rPr>
          <w:highlight w:val="cyan"/>
        </w:rPr>
      </w:pPr>
    </w:p>
    <w:p w14:paraId="4F3B3209" w14:textId="597EC8E1" w:rsidR="003D729C" w:rsidRPr="006E335E" w:rsidRDefault="00F00A52" w:rsidP="0051520C">
      <w:pPr>
        <w:rPr>
          <w:color w:val="0070C0"/>
          <w:highlight w:val="green"/>
        </w:rPr>
      </w:pPr>
      <w:r>
        <w:rPr>
          <w:b/>
          <w:bCs/>
          <w:highlight w:val="yellow"/>
        </w:rPr>
        <w:t>Low</w:t>
      </w:r>
      <w:r w:rsidR="003D729C" w:rsidRPr="001D3716">
        <w:rPr>
          <w:b/>
          <w:bCs/>
          <w:highlight w:val="yellow"/>
        </w:rPr>
        <w:t xml:space="preserve"> to High</w:t>
      </w:r>
      <w:bookmarkEnd w:id="32"/>
      <w:r w:rsidR="00535D77" w:rsidRPr="00FA1A7D">
        <w:rPr>
          <w:bCs/>
        </w:rPr>
        <w:t xml:space="preserve">. </w:t>
      </w:r>
      <w:r w:rsidR="003D729C" w:rsidRPr="007E63C9">
        <w:t>The short-term PM</w:t>
      </w:r>
      <w:r w:rsidR="003D729C" w:rsidRPr="00424231">
        <w:rPr>
          <w:rStyle w:val="StyleSubscript"/>
        </w:rPr>
        <w:t>2.5</w:t>
      </w:r>
      <w:r w:rsidR="003D729C" w:rsidRPr="007E63C9">
        <w:t xml:space="preserve"> health risk </w:t>
      </w:r>
      <w:r w:rsidR="00D73BDF">
        <w:t>based on</w:t>
      </w:r>
      <w:r w:rsidR="003D729C" w:rsidRPr="007E63C9">
        <w:t xml:space="preserve"> peak sample concentrations is </w:t>
      </w:r>
      <w:r w:rsidR="001D3716" w:rsidRPr="00F00A52">
        <w:rPr>
          <w:bCs/>
          <w:highlight w:val="yellow"/>
        </w:rPr>
        <w:t>M</w:t>
      </w:r>
      <w:r w:rsidR="003D729C" w:rsidRPr="00F00A52">
        <w:rPr>
          <w:bCs/>
          <w:highlight w:val="yellow"/>
        </w:rPr>
        <w:t xml:space="preserve">oderate </w:t>
      </w:r>
      <w:r w:rsidR="003D729C" w:rsidRPr="007E63C9">
        <w:rPr>
          <w:bCs/>
        </w:rPr>
        <w:t>for</w:t>
      </w:r>
      <w:r w:rsidR="003D729C" w:rsidRPr="00F00A52">
        <w:rPr>
          <w:bCs/>
          <w:highlight w:val="yellow"/>
        </w:rPr>
        <w:t xml:space="preserve"> </w:t>
      </w:r>
      <w:r w:rsidR="001D3716" w:rsidRPr="00F00A52">
        <w:rPr>
          <w:bCs/>
          <w:highlight w:val="yellow"/>
        </w:rPr>
        <w:t>Year</w:t>
      </w:r>
      <w:r w:rsidR="003D729C" w:rsidRPr="00F00A52">
        <w:rPr>
          <w:bCs/>
          <w:highlight w:val="yellow"/>
        </w:rPr>
        <w:t xml:space="preserve"> and </w:t>
      </w:r>
      <w:r w:rsidR="001D3716" w:rsidRPr="00F00A52">
        <w:rPr>
          <w:bCs/>
          <w:highlight w:val="yellow"/>
        </w:rPr>
        <w:t>H</w:t>
      </w:r>
      <w:r w:rsidR="003D729C" w:rsidRPr="00F00A52">
        <w:rPr>
          <w:bCs/>
          <w:highlight w:val="yellow"/>
        </w:rPr>
        <w:t>igh</w:t>
      </w:r>
      <w:r w:rsidR="003D729C" w:rsidRPr="007E63C9">
        <w:rPr>
          <w:bCs/>
        </w:rPr>
        <w:t xml:space="preserve"> for </w:t>
      </w:r>
      <w:r w:rsidR="001D3716" w:rsidRPr="00F00A52">
        <w:rPr>
          <w:bCs/>
          <w:highlight w:val="yellow"/>
        </w:rPr>
        <w:t>Year</w:t>
      </w:r>
      <w:r w:rsidR="003D729C" w:rsidRPr="00F00A52">
        <w:rPr>
          <w:highlight w:val="yellow"/>
        </w:rPr>
        <w:t xml:space="preserve">. </w:t>
      </w:r>
      <w:r w:rsidR="003D729C" w:rsidRPr="007E63C9">
        <w:t xml:space="preserve">For average sample concentrations, </w:t>
      </w:r>
      <w:r w:rsidR="007507B9" w:rsidRPr="007E63C9">
        <w:t>the short-term health risk was</w:t>
      </w:r>
      <w:r w:rsidR="007507B9" w:rsidRPr="00F00A52">
        <w:rPr>
          <w:highlight w:val="yellow"/>
        </w:rPr>
        <w:t xml:space="preserve"> </w:t>
      </w:r>
      <w:r w:rsidRPr="00F00A52">
        <w:rPr>
          <w:highlight w:val="yellow"/>
        </w:rPr>
        <w:t>L</w:t>
      </w:r>
      <w:r w:rsidR="003D729C" w:rsidRPr="00F00A52">
        <w:rPr>
          <w:highlight w:val="yellow"/>
        </w:rPr>
        <w:t xml:space="preserve">ow </w:t>
      </w:r>
      <w:r w:rsidR="003D729C" w:rsidRPr="007E63C9">
        <w:t xml:space="preserve">for </w:t>
      </w:r>
      <w:r>
        <w:rPr>
          <w:highlight w:val="yellow"/>
        </w:rPr>
        <w:t>Year</w:t>
      </w:r>
      <w:r w:rsidR="003D729C" w:rsidRPr="00F00A52">
        <w:rPr>
          <w:highlight w:val="yellow"/>
        </w:rPr>
        <w:t xml:space="preserve"> and </w:t>
      </w:r>
      <w:r>
        <w:rPr>
          <w:highlight w:val="yellow"/>
        </w:rPr>
        <w:t>Year</w:t>
      </w:r>
      <w:r w:rsidR="00535D77" w:rsidRPr="00F00A52">
        <w:rPr>
          <w:highlight w:val="yellow"/>
        </w:rPr>
        <w:t xml:space="preserve">. </w:t>
      </w:r>
      <w:r w:rsidR="003D729C" w:rsidRPr="00F00A52">
        <w:rPr>
          <w:highlight w:val="yellow"/>
        </w:rPr>
        <w:t xml:space="preserve">There were not enough samples taken in </w:t>
      </w:r>
      <w:r>
        <w:rPr>
          <w:highlight w:val="yellow"/>
        </w:rPr>
        <w:t>Year</w:t>
      </w:r>
      <w:r w:rsidR="003D729C" w:rsidRPr="00F00A52">
        <w:rPr>
          <w:highlight w:val="yellow"/>
        </w:rPr>
        <w:t xml:space="preserve"> to assess the health risk</w:t>
      </w:r>
      <w:r w:rsidR="00535D77" w:rsidRPr="00F00A52">
        <w:rPr>
          <w:highlight w:val="yellow"/>
        </w:rPr>
        <w:t xml:space="preserve">. </w:t>
      </w:r>
      <w:r w:rsidR="003D729C" w:rsidRPr="00875CEF">
        <w:t>A</w:t>
      </w:r>
      <w:r w:rsidR="003D729C" w:rsidRPr="00601E1D">
        <w:rPr>
          <w:highlight w:val="yellow"/>
        </w:rPr>
        <w:t xml:space="preserve"> low </w:t>
      </w:r>
      <w:r w:rsidR="003D729C" w:rsidRPr="00875CEF">
        <w:t xml:space="preserve">health risk </w:t>
      </w:r>
      <w:r w:rsidR="008B530F">
        <w:t xml:space="preserve">suggests </w:t>
      </w:r>
      <w:r w:rsidR="008B530F" w:rsidRPr="00A954F7">
        <w:t>that short-term exposure to PM</w:t>
      </w:r>
      <w:r w:rsidR="008B530F" w:rsidRPr="00424231">
        <w:rPr>
          <w:rStyle w:val="StyleSubscript"/>
        </w:rPr>
        <w:t xml:space="preserve">2.5 </w:t>
      </w:r>
      <w:r w:rsidR="008B530F" w:rsidRPr="00601E1D">
        <w:t xml:space="preserve">was expected </w:t>
      </w:r>
      <w:r w:rsidR="008B530F" w:rsidRPr="008B530F">
        <w:t xml:space="preserve">to </w:t>
      </w:r>
      <w:r w:rsidR="003B56E9">
        <w:t>have</w:t>
      </w:r>
      <w:r w:rsidR="003D729C" w:rsidRPr="008B530F">
        <w:t xml:space="preserve"> </w:t>
      </w:r>
      <w:r w:rsidR="003D729C" w:rsidRPr="00601E1D">
        <w:rPr>
          <w:highlight w:val="yellow"/>
        </w:rPr>
        <w:t>little or no impact on accomplishing the mission</w:t>
      </w:r>
      <w:r w:rsidR="00535D77" w:rsidRPr="00601E1D">
        <w:rPr>
          <w:highlight w:val="yellow"/>
        </w:rPr>
        <w:t xml:space="preserve">. </w:t>
      </w:r>
      <w:r w:rsidR="003D729C" w:rsidRPr="00875CEF">
        <w:t xml:space="preserve">A </w:t>
      </w:r>
      <w:r w:rsidR="003D729C" w:rsidRPr="00601E1D">
        <w:rPr>
          <w:bCs/>
          <w:highlight w:val="yellow"/>
        </w:rPr>
        <w:t xml:space="preserve">moderate </w:t>
      </w:r>
      <w:r w:rsidR="003D729C" w:rsidRPr="00875CEF">
        <w:rPr>
          <w:bCs/>
        </w:rPr>
        <w:t xml:space="preserve">health risk suggests </w:t>
      </w:r>
      <w:r w:rsidR="008B530F" w:rsidRPr="00875CEF">
        <w:rPr>
          <w:bCs/>
        </w:rPr>
        <w:t xml:space="preserve">that short-term exposure to </w:t>
      </w:r>
      <w:r w:rsidR="008B530F" w:rsidRPr="00875CEF">
        <w:t>PM</w:t>
      </w:r>
      <w:r w:rsidR="008B530F" w:rsidRPr="00424231">
        <w:rPr>
          <w:rStyle w:val="StyleSubscript"/>
        </w:rPr>
        <w:t xml:space="preserve">2.5 </w:t>
      </w:r>
      <w:r w:rsidR="008B530F" w:rsidRPr="00601E1D">
        <w:t xml:space="preserve">was expected </w:t>
      </w:r>
      <w:r w:rsidR="008B530F" w:rsidRPr="008B530F">
        <w:t xml:space="preserve">to have </w:t>
      </w:r>
      <w:r w:rsidR="003D729C" w:rsidRPr="00601E1D">
        <w:rPr>
          <w:bCs/>
          <w:highlight w:val="yellow"/>
        </w:rPr>
        <w:t>degraded mission capabilities in terms of the required mission standard and will result in reduced mission capability if hazards occur during the mission</w:t>
      </w:r>
      <w:r w:rsidR="00535D77" w:rsidRPr="00601E1D">
        <w:rPr>
          <w:bCs/>
          <w:highlight w:val="yellow"/>
        </w:rPr>
        <w:t xml:space="preserve">. </w:t>
      </w:r>
      <w:r w:rsidR="003D729C" w:rsidRPr="00875CEF">
        <w:t xml:space="preserve">A </w:t>
      </w:r>
      <w:r w:rsidR="003D729C" w:rsidRPr="00601E1D">
        <w:rPr>
          <w:highlight w:val="yellow"/>
        </w:rPr>
        <w:t xml:space="preserve">high </w:t>
      </w:r>
      <w:r w:rsidR="003D729C" w:rsidRPr="00875CEF">
        <w:t xml:space="preserve">health risk </w:t>
      </w:r>
      <w:r w:rsidR="008B530F" w:rsidRPr="00875CEF">
        <w:t>suggests</w:t>
      </w:r>
      <w:r w:rsidR="008B530F">
        <w:t xml:space="preserve"> </w:t>
      </w:r>
      <w:r w:rsidR="008B530F" w:rsidRPr="00A954F7">
        <w:t>that short-term exposure to PM</w:t>
      </w:r>
      <w:r w:rsidR="008B530F" w:rsidRPr="00424231">
        <w:rPr>
          <w:rStyle w:val="StyleSubscript"/>
        </w:rPr>
        <w:t xml:space="preserve">2.5 </w:t>
      </w:r>
      <w:r w:rsidR="008B530F" w:rsidRPr="00601E1D">
        <w:t xml:space="preserve">was expected </w:t>
      </w:r>
      <w:r w:rsidR="008B530F" w:rsidRPr="008B530F">
        <w:t>to have</w:t>
      </w:r>
      <w:r w:rsidR="003D729C" w:rsidRPr="00601E1D">
        <w:rPr>
          <w:highlight w:val="yellow"/>
        </w:rPr>
        <w:t xml:space="preserve"> a significant degradation of mission capabilities in terms of the required mission standard, inability to accomplish all parts of the mission, or </w:t>
      </w:r>
      <w:r w:rsidR="003D729C" w:rsidRPr="00601E1D">
        <w:rPr>
          <w:highlight w:val="yellow"/>
        </w:rPr>
        <w:lastRenderedPageBreak/>
        <w:t>inability to complete the mission to standard if hazards occur during the mission</w:t>
      </w:r>
      <w:r w:rsidR="003D729C" w:rsidRPr="007E63C9">
        <w:t xml:space="preserve"> (Reference </w:t>
      </w:r>
      <w:r w:rsidR="00622E42" w:rsidRPr="00622E42">
        <w:rPr>
          <w:highlight w:val="yellow"/>
        </w:rPr>
        <w:t>XX</w:t>
      </w:r>
      <w:r w:rsidR="003D729C" w:rsidRPr="007E63C9">
        <w:t>, Table 3-2)</w:t>
      </w:r>
      <w:r w:rsidR="00535D77" w:rsidRPr="007E63C9">
        <w:t xml:space="preserve">. </w:t>
      </w:r>
      <w:r w:rsidR="003D729C" w:rsidRPr="00F00A52">
        <w:t>Confidence in the short-term PM</w:t>
      </w:r>
      <w:r w:rsidR="003D729C" w:rsidRPr="00424231">
        <w:rPr>
          <w:rStyle w:val="StyleSubscript"/>
        </w:rPr>
        <w:t>2.5</w:t>
      </w:r>
      <w:r w:rsidR="003D729C" w:rsidRPr="00F00A52">
        <w:t xml:space="preserve"> health risk assessment was </w:t>
      </w:r>
      <w:r w:rsidR="003D729C" w:rsidRPr="007E63C9">
        <w:rPr>
          <w:highlight w:val="yellow"/>
        </w:rPr>
        <w:t>low</w:t>
      </w:r>
      <w:r w:rsidR="003D729C" w:rsidRPr="00F00A52">
        <w:rPr>
          <w:highlight w:val="yellow"/>
        </w:rPr>
        <w:t xml:space="preserve"> </w:t>
      </w:r>
      <w:r w:rsidR="003D729C" w:rsidRPr="007E63C9">
        <w:t xml:space="preserve">(Reference </w:t>
      </w:r>
      <w:r w:rsidR="00622E42" w:rsidRPr="00622E42">
        <w:rPr>
          <w:highlight w:val="yellow"/>
        </w:rPr>
        <w:t>XX</w:t>
      </w:r>
      <w:r w:rsidR="003D729C" w:rsidRPr="007E63C9">
        <w:t>, Table 3-6).</w:t>
      </w:r>
      <w:r w:rsidR="00E84469">
        <w:t xml:space="preserve"> </w:t>
      </w:r>
      <w:r w:rsidR="00E84469" w:rsidRPr="006E335E">
        <w:rPr>
          <w:color w:val="0070C0"/>
        </w:rPr>
        <w:t xml:space="preserve">[Provide justification for </w:t>
      </w:r>
      <w:r w:rsidR="003D2F80" w:rsidRPr="006E335E">
        <w:rPr>
          <w:color w:val="0070C0"/>
        </w:rPr>
        <w:t xml:space="preserve">the </w:t>
      </w:r>
      <w:r w:rsidR="00CC5707" w:rsidRPr="006E335E">
        <w:rPr>
          <w:color w:val="0070C0"/>
        </w:rPr>
        <w:t xml:space="preserve">confidence level. If there is NASA data, it may result in a Low to Medium confidence. </w:t>
      </w:r>
      <w:r w:rsidR="000523A3" w:rsidRPr="006E335E">
        <w:rPr>
          <w:color w:val="0070C0"/>
        </w:rPr>
        <w:t xml:space="preserve">There is a large amount of data available, but there is </w:t>
      </w:r>
      <w:r w:rsidR="003D2F80" w:rsidRPr="006E335E">
        <w:rPr>
          <w:color w:val="0070C0"/>
        </w:rPr>
        <w:t>uncertainty in the modeled data.]</w:t>
      </w:r>
    </w:p>
    <w:p w14:paraId="2CFB7610" w14:textId="77777777" w:rsidR="003D729C" w:rsidRPr="00F83550" w:rsidRDefault="003D729C" w:rsidP="0051520C">
      <w:pPr>
        <w:rPr>
          <w:highlight w:val="green"/>
        </w:rPr>
      </w:pPr>
    </w:p>
    <w:p w14:paraId="45ED01C7" w14:textId="3BA70A4E" w:rsidR="003D729C" w:rsidRPr="005571DE" w:rsidRDefault="003D729C" w:rsidP="0051520C">
      <w:r w:rsidRPr="005A66A7">
        <w:t xml:space="preserve">The hazard severity was </w:t>
      </w:r>
      <w:r w:rsidR="005A66A7">
        <w:rPr>
          <w:bCs/>
          <w:highlight w:val="yellow"/>
        </w:rPr>
        <w:t>N</w:t>
      </w:r>
      <w:r w:rsidRPr="00F00A52">
        <w:rPr>
          <w:bCs/>
          <w:highlight w:val="yellow"/>
        </w:rPr>
        <w:t xml:space="preserve">egligible </w:t>
      </w:r>
      <w:r w:rsidRPr="005A66A7">
        <w:rPr>
          <w:bCs/>
        </w:rPr>
        <w:t xml:space="preserve">to </w:t>
      </w:r>
      <w:r w:rsidR="005A66A7">
        <w:rPr>
          <w:bCs/>
          <w:highlight w:val="yellow"/>
        </w:rPr>
        <w:t>M</w:t>
      </w:r>
      <w:r w:rsidRPr="00F00A52">
        <w:rPr>
          <w:bCs/>
          <w:highlight w:val="yellow"/>
        </w:rPr>
        <w:t>arginal</w:t>
      </w:r>
      <w:r w:rsidRPr="00F00A52">
        <w:rPr>
          <w:highlight w:val="yellow"/>
        </w:rPr>
        <w:t xml:space="preserve"> </w:t>
      </w:r>
      <w:r w:rsidRPr="005A66A7">
        <w:t>for average PM</w:t>
      </w:r>
      <w:r w:rsidRPr="00424231">
        <w:rPr>
          <w:rStyle w:val="StyleSubscript"/>
        </w:rPr>
        <w:t>2.5</w:t>
      </w:r>
      <w:r w:rsidRPr="005A66A7">
        <w:t xml:space="preserve"> sample concentrations</w:t>
      </w:r>
      <w:r w:rsidR="00535D77" w:rsidRPr="005A66A7">
        <w:t xml:space="preserve">. </w:t>
      </w:r>
      <w:r w:rsidRPr="005A66A7">
        <w:t xml:space="preserve">The hazard severity was </w:t>
      </w:r>
      <w:r w:rsidR="005A66A7">
        <w:rPr>
          <w:highlight w:val="yellow"/>
        </w:rPr>
        <w:t>N</w:t>
      </w:r>
      <w:r w:rsidRPr="00F00A52">
        <w:rPr>
          <w:highlight w:val="yellow"/>
        </w:rPr>
        <w:t xml:space="preserve">egligible </w:t>
      </w:r>
      <w:r w:rsidR="005A66A7">
        <w:t xml:space="preserve">for </w:t>
      </w:r>
      <w:r w:rsidR="00F00A52" w:rsidRPr="00F00A52">
        <w:rPr>
          <w:highlight w:val="yellow"/>
        </w:rPr>
        <w:t>Year</w:t>
      </w:r>
      <w:r w:rsidRPr="00F00A52">
        <w:rPr>
          <w:highlight w:val="yellow"/>
        </w:rPr>
        <w:t xml:space="preserve"> </w:t>
      </w:r>
      <w:r w:rsidRPr="005A66A7">
        <w:t xml:space="preserve">and </w:t>
      </w:r>
      <w:r w:rsidR="005A66A7">
        <w:rPr>
          <w:highlight w:val="yellow"/>
        </w:rPr>
        <w:t>M</w:t>
      </w:r>
      <w:r w:rsidRPr="00F00A52">
        <w:rPr>
          <w:highlight w:val="yellow"/>
        </w:rPr>
        <w:t xml:space="preserve">arginal </w:t>
      </w:r>
      <w:r w:rsidR="005A66A7" w:rsidRPr="005A66A7">
        <w:t>for</w:t>
      </w:r>
      <w:r w:rsidRPr="005A66A7">
        <w:t xml:space="preserve"> </w:t>
      </w:r>
      <w:r w:rsidR="00F00A52" w:rsidRPr="00F00A52">
        <w:rPr>
          <w:highlight w:val="yellow"/>
        </w:rPr>
        <w:t>Year</w:t>
      </w:r>
      <w:r w:rsidR="00535D77" w:rsidRPr="00F00A52">
        <w:rPr>
          <w:highlight w:val="yellow"/>
        </w:rPr>
        <w:t xml:space="preserve">. </w:t>
      </w:r>
      <w:r w:rsidR="004528B3" w:rsidRPr="00875CEF">
        <w:t>At the</w:t>
      </w:r>
      <w:r w:rsidRPr="00875CEF">
        <w:t xml:space="preserve"> </w:t>
      </w:r>
      <w:r w:rsidR="00DC7809">
        <w:rPr>
          <w:highlight w:val="yellow"/>
        </w:rPr>
        <w:t>N</w:t>
      </w:r>
      <w:r w:rsidRPr="005A66A7">
        <w:rPr>
          <w:highlight w:val="yellow"/>
        </w:rPr>
        <w:t xml:space="preserve">egligible </w:t>
      </w:r>
      <w:r w:rsidRPr="00875CEF">
        <w:t>hazard severity</w:t>
      </w:r>
      <w:r w:rsidR="004528B3" w:rsidRPr="00875CEF">
        <w:t>,</w:t>
      </w:r>
      <w:r w:rsidRPr="005A66A7">
        <w:rPr>
          <w:highlight w:val="yellow"/>
        </w:rPr>
        <w:t xml:space="preserve"> a few personnel may experience notable mild eye, nose, or throat irritation; most personnel will experience only mild effects</w:t>
      </w:r>
      <w:r w:rsidR="00535D77" w:rsidRPr="005A66A7">
        <w:rPr>
          <w:highlight w:val="yellow"/>
        </w:rPr>
        <w:t xml:space="preserve">. </w:t>
      </w:r>
      <w:r w:rsidRPr="005A66A7">
        <w:rPr>
          <w:highlight w:val="yellow"/>
        </w:rPr>
        <w:t xml:space="preserve">Pre-existing health conditions (e.g., asthma </w:t>
      </w:r>
      <w:r w:rsidR="0021742C">
        <w:rPr>
          <w:highlight w:val="yellow"/>
        </w:rPr>
        <w:t>and/</w:t>
      </w:r>
      <w:r w:rsidRPr="005A66A7">
        <w:rPr>
          <w:highlight w:val="yellow"/>
        </w:rPr>
        <w:t>or cardiopulmonary diseases) may be exacerbated</w:t>
      </w:r>
      <w:r w:rsidR="00535D77" w:rsidRPr="005A66A7">
        <w:rPr>
          <w:highlight w:val="yellow"/>
        </w:rPr>
        <w:t xml:space="preserve">. </w:t>
      </w:r>
      <w:r w:rsidR="004528B3" w:rsidRPr="007A2196">
        <w:t>At the</w:t>
      </w:r>
      <w:r w:rsidRPr="007A2196">
        <w:t xml:space="preserve"> </w:t>
      </w:r>
      <w:r w:rsidR="00DC7809">
        <w:rPr>
          <w:highlight w:val="yellow"/>
        </w:rPr>
        <w:t>M</w:t>
      </w:r>
      <w:r w:rsidRPr="005A66A7">
        <w:rPr>
          <w:highlight w:val="yellow"/>
        </w:rPr>
        <w:t xml:space="preserve">arginal </w:t>
      </w:r>
      <w:r w:rsidRPr="007A2196">
        <w:t>hazard severity</w:t>
      </w:r>
      <w:r w:rsidR="004528B3" w:rsidRPr="007A2196">
        <w:t>,</w:t>
      </w:r>
      <w:r w:rsidRPr="005A66A7">
        <w:rPr>
          <w:highlight w:val="yellow"/>
        </w:rPr>
        <w:t xml:space="preserve"> </w:t>
      </w:r>
      <w:proofErr w:type="gramStart"/>
      <w:r w:rsidRPr="005A66A7">
        <w:rPr>
          <w:iCs/>
          <w:highlight w:val="yellow"/>
        </w:rPr>
        <w:t>a</w:t>
      </w:r>
      <w:r w:rsidRPr="005A66A7">
        <w:rPr>
          <w:highlight w:val="yellow"/>
        </w:rPr>
        <w:t xml:space="preserve"> majority of</w:t>
      </w:r>
      <w:proofErr w:type="gramEnd"/>
      <w:r w:rsidRPr="005A66A7">
        <w:rPr>
          <w:highlight w:val="yellow"/>
        </w:rPr>
        <w:t xml:space="preserve"> personnel </w:t>
      </w:r>
      <w:r w:rsidR="00F00A52" w:rsidRPr="005A66A7">
        <w:rPr>
          <w:highlight w:val="yellow"/>
        </w:rPr>
        <w:t>may</w:t>
      </w:r>
      <w:r w:rsidRPr="005A66A7">
        <w:rPr>
          <w:highlight w:val="yellow"/>
        </w:rPr>
        <w:t xml:space="preserve"> experience notable eye, nose, and throat irritation and some respiratory effects</w:t>
      </w:r>
      <w:r w:rsidR="00535D77" w:rsidRPr="005A66A7">
        <w:rPr>
          <w:highlight w:val="yellow"/>
        </w:rPr>
        <w:t xml:space="preserve">. </w:t>
      </w:r>
      <w:r w:rsidRPr="005A66A7">
        <w:rPr>
          <w:highlight w:val="yellow"/>
        </w:rPr>
        <w:t>Some lost-duty days are expected</w:t>
      </w:r>
      <w:r w:rsidR="00535D77" w:rsidRPr="005A66A7">
        <w:rPr>
          <w:highlight w:val="yellow"/>
        </w:rPr>
        <w:t xml:space="preserve">. </w:t>
      </w:r>
      <w:r w:rsidRPr="005A66A7">
        <w:rPr>
          <w:highlight w:val="yellow"/>
        </w:rPr>
        <w:t>Significant aerobic activity will increase risk</w:t>
      </w:r>
      <w:r w:rsidR="00535D77" w:rsidRPr="005A66A7">
        <w:rPr>
          <w:highlight w:val="yellow"/>
        </w:rPr>
        <w:t xml:space="preserve">. </w:t>
      </w:r>
      <w:r w:rsidRPr="005A66A7">
        <w:rPr>
          <w:highlight w:val="yellow"/>
        </w:rPr>
        <w:t>Those with a history of asthma or cardiopulmonary disease are expected to experience increased symptoms</w:t>
      </w:r>
      <w:r w:rsidRPr="005A66A7">
        <w:t xml:space="preserve"> </w:t>
      </w:r>
      <w:r w:rsidRPr="005571DE">
        <w:t xml:space="preserve">(Reference </w:t>
      </w:r>
      <w:r w:rsidR="00622E42" w:rsidRPr="00622E42">
        <w:rPr>
          <w:highlight w:val="yellow"/>
        </w:rPr>
        <w:t>XX</w:t>
      </w:r>
      <w:r w:rsidRPr="005571DE">
        <w:t>, Table 3-11).</w:t>
      </w:r>
    </w:p>
    <w:p w14:paraId="306A1173" w14:textId="77777777" w:rsidR="003D729C" w:rsidRPr="00F83550" w:rsidRDefault="003D729C" w:rsidP="0051520C">
      <w:pPr>
        <w:rPr>
          <w:highlight w:val="green"/>
        </w:rPr>
      </w:pPr>
    </w:p>
    <w:p w14:paraId="702C40AA" w14:textId="2E74B343" w:rsidR="003D729C" w:rsidRDefault="003D729C" w:rsidP="0051520C">
      <w:r w:rsidRPr="005A66A7">
        <w:t>For the highest observed PM</w:t>
      </w:r>
      <w:r w:rsidRPr="00424231">
        <w:rPr>
          <w:rStyle w:val="StyleSubscript"/>
        </w:rPr>
        <w:t xml:space="preserve">2.5 </w:t>
      </w:r>
      <w:r w:rsidR="004528B3" w:rsidRPr="005A66A7">
        <w:t>concentration</w:t>
      </w:r>
      <w:r w:rsidRPr="005A66A7">
        <w:t>, the</w:t>
      </w:r>
      <w:r w:rsidRPr="005A66A7">
        <w:rPr>
          <w:color w:val="000000"/>
        </w:rPr>
        <w:t xml:space="preserve"> hazard severity was </w:t>
      </w:r>
      <w:r w:rsidR="005A66A7">
        <w:rPr>
          <w:bCs/>
          <w:highlight w:val="yellow"/>
        </w:rPr>
        <w:t>C</w:t>
      </w:r>
      <w:r w:rsidRPr="00F00A52">
        <w:rPr>
          <w:bCs/>
          <w:highlight w:val="yellow"/>
        </w:rPr>
        <w:t>ritical</w:t>
      </w:r>
      <w:r w:rsidR="00535D77" w:rsidRPr="00F00A52">
        <w:rPr>
          <w:highlight w:val="yellow"/>
        </w:rPr>
        <w:t xml:space="preserve">. </w:t>
      </w:r>
      <w:r w:rsidRPr="00F00A52">
        <w:rPr>
          <w:color w:val="000000"/>
          <w:highlight w:val="yellow"/>
        </w:rPr>
        <w:t xml:space="preserve">During peak exposures at the </w:t>
      </w:r>
      <w:r w:rsidRPr="00F00A52">
        <w:rPr>
          <w:bCs/>
          <w:highlight w:val="yellow"/>
        </w:rPr>
        <w:t>critical</w:t>
      </w:r>
      <w:r w:rsidRPr="00F00A52">
        <w:rPr>
          <w:color w:val="000000"/>
          <w:highlight w:val="yellow"/>
        </w:rPr>
        <w:t xml:space="preserve"> hazard severity level, </w:t>
      </w:r>
      <w:r w:rsidRPr="00F00A52">
        <w:rPr>
          <w:iCs/>
          <w:highlight w:val="yellow"/>
        </w:rPr>
        <w:t xml:space="preserve">most if not all personnel </w:t>
      </w:r>
      <w:r w:rsidR="00F00A52" w:rsidRPr="00F00A52">
        <w:rPr>
          <w:iCs/>
          <w:highlight w:val="yellow"/>
        </w:rPr>
        <w:t xml:space="preserve">may </w:t>
      </w:r>
      <w:r w:rsidRPr="00F00A52">
        <w:rPr>
          <w:iCs/>
          <w:highlight w:val="yellow"/>
        </w:rPr>
        <w:t>experience eye, nose, and throat irritation and respiratory effects</w:t>
      </w:r>
      <w:r w:rsidR="00535D77" w:rsidRPr="00F00A52">
        <w:rPr>
          <w:iCs/>
          <w:highlight w:val="yellow"/>
        </w:rPr>
        <w:t xml:space="preserve">. </w:t>
      </w:r>
      <w:r w:rsidRPr="00F00A52">
        <w:rPr>
          <w:iCs/>
          <w:highlight w:val="yellow"/>
        </w:rPr>
        <w:t>Visual acuity is impaired, as is overall aerobic capacity</w:t>
      </w:r>
      <w:r w:rsidR="00535D77" w:rsidRPr="00F00A52">
        <w:rPr>
          <w:iCs/>
          <w:highlight w:val="yellow"/>
        </w:rPr>
        <w:t xml:space="preserve">. </w:t>
      </w:r>
      <w:r w:rsidRPr="00F00A52">
        <w:rPr>
          <w:iCs/>
          <w:highlight w:val="yellow"/>
        </w:rPr>
        <w:t>Some personnel will not be able to perform assigned duties</w:t>
      </w:r>
      <w:r w:rsidR="00535D77" w:rsidRPr="00F00A52">
        <w:rPr>
          <w:iCs/>
          <w:highlight w:val="yellow"/>
        </w:rPr>
        <w:t xml:space="preserve">. </w:t>
      </w:r>
      <w:r w:rsidRPr="00F00A52">
        <w:rPr>
          <w:iCs/>
          <w:highlight w:val="yellow"/>
        </w:rPr>
        <w:t>Lost</w:t>
      </w:r>
      <w:r w:rsidR="000755F2">
        <w:rPr>
          <w:iCs/>
          <w:highlight w:val="yellow"/>
        </w:rPr>
        <w:t>-</w:t>
      </w:r>
      <w:r w:rsidRPr="00F00A52">
        <w:rPr>
          <w:iCs/>
          <w:highlight w:val="yellow"/>
        </w:rPr>
        <w:t>duty days are expected</w:t>
      </w:r>
      <w:r w:rsidR="00535D77" w:rsidRPr="00F00A52">
        <w:rPr>
          <w:iCs/>
          <w:highlight w:val="yellow"/>
        </w:rPr>
        <w:t xml:space="preserve">. </w:t>
      </w:r>
      <w:r w:rsidRPr="00F00A52">
        <w:rPr>
          <w:iCs/>
          <w:highlight w:val="yellow"/>
        </w:rPr>
        <w:t>Those with a history of asthma or cardiopulmonary disease will experience more severe symptoms</w:t>
      </w:r>
      <w:r w:rsidR="00E446AE">
        <w:rPr>
          <w:iCs/>
          <w:highlight w:val="yellow"/>
        </w:rPr>
        <w:t xml:space="preserve"> </w:t>
      </w:r>
      <w:r w:rsidRPr="005571DE">
        <w:t xml:space="preserve">(Reference </w:t>
      </w:r>
      <w:r w:rsidR="00622E42" w:rsidRPr="00622E42">
        <w:rPr>
          <w:highlight w:val="yellow"/>
        </w:rPr>
        <w:t>XX</w:t>
      </w:r>
      <w:r w:rsidRPr="005571DE">
        <w:t>, Table 3-11).</w:t>
      </w:r>
    </w:p>
    <w:p w14:paraId="17DCD8C2" w14:textId="3E2DA41D" w:rsidR="00D73BDF" w:rsidRDefault="00D73BDF" w:rsidP="0051520C"/>
    <w:p w14:paraId="77FDD236" w14:textId="44FE1C05" w:rsidR="00D73BDF" w:rsidRDefault="00D73BDF" w:rsidP="0051520C">
      <w:r>
        <w:t>Individual exposures to PM</w:t>
      </w:r>
      <w:r w:rsidRPr="33C63274">
        <w:rPr>
          <w:vertAlign w:val="subscript"/>
        </w:rPr>
        <w:t>2.5</w:t>
      </w:r>
      <w:r>
        <w:t xml:space="preserve"> may vary, as exposure and environmental conditions can vary, and may result in mild to more serious short-term health effects (e.g., eye, nose or throat and lung irritation) in some personnel. For PM</w:t>
      </w:r>
      <w:r w:rsidRPr="33C63274">
        <w:rPr>
          <w:vertAlign w:val="subscript"/>
        </w:rPr>
        <w:t>2.5</w:t>
      </w:r>
      <w:r>
        <w:t>, certain subgroups of the deployed forces (e.g., those with pre-existing asthma and/or cardiopulmonary conditions) are at greatest risk of developing adverse health effects. Some individuals may have sought treatment for acute respiratory irritation while on deployment. Personnel who reported to their medical units with symptoms or who required treatment would likely have had their clinical encounters and treatment noted in the medical record [e.g., electronic medical record (EMR) and/or on a paper chart Standard Form (SF) 600 (Chronological Record of Medical Care)].</w:t>
      </w:r>
    </w:p>
    <w:p w14:paraId="1EA8983C" w14:textId="18AA952F" w:rsidR="0022573B" w:rsidRDefault="0022573B" w:rsidP="0051520C"/>
    <w:p w14:paraId="6329DBA7" w14:textId="36BE054F" w:rsidR="0022573B" w:rsidRPr="005571DE" w:rsidRDefault="0022573B" w:rsidP="0051520C">
      <w:commentRangeStart w:id="33"/>
      <w:r w:rsidRPr="00D05A65">
        <w:rPr>
          <w:highlight w:val="yellow"/>
        </w:rPr>
        <w:t>XX</w:t>
      </w:r>
      <w:commentRangeEnd w:id="33"/>
      <w:r w:rsidR="00EF757F">
        <w:rPr>
          <w:rStyle w:val="CommentReference"/>
        </w:rPr>
        <w:commentReference w:id="33"/>
      </w:r>
      <w:r w:rsidRPr="00D05A65">
        <w:rPr>
          <w:highlight w:val="yellow"/>
        </w:rPr>
        <w:t xml:space="preserve"> of XX</w:t>
      </w:r>
      <w:r>
        <w:t xml:space="preserve"> </w:t>
      </w:r>
      <w:r w:rsidRPr="003E2609">
        <w:t>PM</w:t>
      </w:r>
      <w:r w:rsidR="002D7B44" w:rsidRPr="00424231">
        <w:rPr>
          <w:rStyle w:val="StyleSubscript"/>
        </w:rPr>
        <w:t>2.5</w:t>
      </w:r>
      <w:r w:rsidRPr="00424231">
        <w:rPr>
          <w:rStyle w:val="StyleSubscript"/>
        </w:rPr>
        <w:t xml:space="preserve"> </w:t>
      </w:r>
      <w:r>
        <w:t xml:space="preserve">sample concentrations were in the </w:t>
      </w:r>
      <w:r w:rsidRPr="00601E1D">
        <w:rPr>
          <w:highlight w:val="yellow"/>
        </w:rPr>
        <w:t>Negligible</w:t>
      </w:r>
      <w:r>
        <w:t xml:space="preserve"> hazard severity range (</w:t>
      </w:r>
      <w:r w:rsidR="002D7B44">
        <w:rPr>
          <w:highlight w:val="yellow"/>
        </w:rPr>
        <w:t>65</w:t>
      </w:r>
      <w:r w:rsidR="00B7184B">
        <w:rPr>
          <w:rFonts w:cs="Arial"/>
          <w:highlight w:val="yellow"/>
        </w:rPr>
        <w:t>–</w:t>
      </w:r>
      <w:r w:rsidR="002D7B44">
        <w:rPr>
          <w:highlight w:val="yellow"/>
        </w:rPr>
        <w:t>250</w:t>
      </w:r>
      <w:r w:rsidRPr="00601E1D">
        <w:rPr>
          <w:highlight w:val="yellow"/>
        </w:rPr>
        <w:t xml:space="preserve"> </w:t>
      </w:r>
      <w:r w:rsidR="00E16244" w:rsidRPr="00E16244">
        <w:t>µ</w:t>
      </w:r>
      <w:r w:rsidRPr="00E16244">
        <w:t>g/m</w:t>
      </w:r>
      <w:r w:rsidRPr="00E16244">
        <w:rPr>
          <w:vertAlign w:val="superscript"/>
        </w:rPr>
        <w:t>3</w:t>
      </w:r>
      <w:r w:rsidRPr="00E10C91">
        <w:t>)</w:t>
      </w:r>
      <w:r w:rsidR="002D7B44">
        <w:t xml:space="preserve">, </w:t>
      </w:r>
      <w:r w:rsidR="002D7B44" w:rsidRPr="00D05A65">
        <w:rPr>
          <w:highlight w:val="yellow"/>
        </w:rPr>
        <w:t xml:space="preserve">XX </w:t>
      </w:r>
      <w:r w:rsidR="002D7B44">
        <w:t xml:space="preserve">were in the </w:t>
      </w:r>
      <w:r w:rsidR="002D7B44" w:rsidRPr="002D7B44">
        <w:rPr>
          <w:highlight w:val="yellow"/>
        </w:rPr>
        <w:t>Marginal</w:t>
      </w:r>
      <w:r w:rsidR="002D7B44">
        <w:t xml:space="preserve"> hazard severity range (</w:t>
      </w:r>
      <w:r w:rsidR="002D7B44">
        <w:rPr>
          <w:highlight w:val="yellow"/>
        </w:rPr>
        <w:t>25</w:t>
      </w:r>
      <w:r w:rsidR="00DC7809">
        <w:rPr>
          <w:highlight w:val="yellow"/>
        </w:rPr>
        <w:t>0</w:t>
      </w:r>
      <w:r w:rsidR="00B7184B">
        <w:rPr>
          <w:rFonts w:cs="Arial"/>
          <w:highlight w:val="yellow"/>
        </w:rPr>
        <w:t>–</w:t>
      </w:r>
      <w:r w:rsidR="002D7B44">
        <w:rPr>
          <w:highlight w:val="yellow"/>
        </w:rPr>
        <w:t>500</w:t>
      </w:r>
      <w:r w:rsidR="002D7B44" w:rsidRPr="00601E1D">
        <w:rPr>
          <w:highlight w:val="yellow"/>
        </w:rPr>
        <w:t xml:space="preserve"> </w:t>
      </w:r>
      <w:r w:rsidR="00E16244" w:rsidRPr="00E16244">
        <w:t>µ</w:t>
      </w:r>
      <w:r w:rsidR="002D7B44" w:rsidRPr="00E16244">
        <w:t>g/m</w:t>
      </w:r>
      <w:r w:rsidR="002D7B44" w:rsidRPr="00E16244">
        <w:rPr>
          <w:vertAlign w:val="superscript"/>
        </w:rPr>
        <w:t>3</w:t>
      </w:r>
      <w:r w:rsidR="002D7B44" w:rsidRPr="00E10C91">
        <w:t>)</w:t>
      </w:r>
      <w:r w:rsidR="002D7B44">
        <w:t xml:space="preserve">, and </w:t>
      </w:r>
      <w:r w:rsidR="00A72009" w:rsidRPr="00D05A65">
        <w:rPr>
          <w:highlight w:val="yellow"/>
        </w:rPr>
        <w:t>XX</w:t>
      </w:r>
      <w:r w:rsidR="00A72009" w:rsidRPr="00437D43">
        <w:t xml:space="preserve"> </w:t>
      </w:r>
      <w:r w:rsidR="00A72009">
        <w:t xml:space="preserve">were in the Critical </w:t>
      </w:r>
      <w:r w:rsidRPr="00601E1D">
        <w:rPr>
          <w:highlight w:val="yellow"/>
        </w:rPr>
        <w:t>hazard severity</w:t>
      </w:r>
      <w:r w:rsidR="002D7B44">
        <w:rPr>
          <w:highlight w:val="yellow"/>
        </w:rPr>
        <w:t xml:space="preserve"> range</w:t>
      </w:r>
      <w:r w:rsidRPr="00601E1D">
        <w:rPr>
          <w:highlight w:val="yellow"/>
        </w:rPr>
        <w:t xml:space="preserve"> (</w:t>
      </w:r>
      <w:r w:rsidR="002D7B44">
        <w:rPr>
          <w:highlight w:val="yellow"/>
        </w:rPr>
        <w:t>&gt; 500</w:t>
      </w:r>
      <w:r w:rsidRPr="00601E1D">
        <w:rPr>
          <w:highlight w:val="yellow"/>
        </w:rPr>
        <w:t xml:space="preserve"> </w:t>
      </w:r>
      <w:r w:rsidR="00E16244" w:rsidRPr="00870CA8">
        <w:t>µ</w:t>
      </w:r>
      <w:r w:rsidRPr="00E16244">
        <w:t>g/m</w:t>
      </w:r>
      <w:r w:rsidRPr="00E16244">
        <w:rPr>
          <w:vertAlign w:val="superscript"/>
        </w:rPr>
        <w:t>3</w:t>
      </w:r>
      <w:r w:rsidRPr="00E16244">
        <w:t>)</w:t>
      </w:r>
      <w:r>
        <w:t xml:space="preserve">. </w:t>
      </w:r>
    </w:p>
    <w:p w14:paraId="6CB9BC6E" w14:textId="77777777" w:rsidR="003D729C" w:rsidRPr="00F83550" w:rsidRDefault="003D729C" w:rsidP="0051520C"/>
    <w:p w14:paraId="2C7EBFC6" w14:textId="14CB6FF6" w:rsidR="003D729C" w:rsidRDefault="003D729C" w:rsidP="00FD4769">
      <w:pPr>
        <w:pStyle w:val="Heading3"/>
      </w:pPr>
      <w:r w:rsidRPr="00F83550">
        <w:t xml:space="preserve">Long-term </w:t>
      </w:r>
      <w:r w:rsidR="000D09F5" w:rsidRPr="00F83550">
        <w:t>Health Ris</w:t>
      </w:r>
      <w:r w:rsidRPr="00F83550">
        <w:t>ks:</w:t>
      </w:r>
    </w:p>
    <w:p w14:paraId="3C803C94" w14:textId="77777777" w:rsidR="004809BB" w:rsidRDefault="004809BB" w:rsidP="004809BB"/>
    <w:p w14:paraId="1CEDDB72" w14:textId="5A60D041" w:rsidR="004809BB" w:rsidRPr="004809BB" w:rsidRDefault="004809BB" w:rsidP="004809BB">
      <w:pPr>
        <w:rPr>
          <w:b/>
          <w:bCs/>
          <w:color w:val="0070C0"/>
        </w:rPr>
      </w:pPr>
      <w:r w:rsidRPr="004809BB">
        <w:rPr>
          <w:b/>
          <w:bCs/>
          <w:color w:val="0070C0"/>
        </w:rPr>
        <w:t xml:space="preserve">[This is an example when enough samples are available to determine a </w:t>
      </w:r>
      <w:r>
        <w:rPr>
          <w:b/>
          <w:bCs/>
          <w:color w:val="0070C0"/>
        </w:rPr>
        <w:t xml:space="preserve">long-term </w:t>
      </w:r>
      <w:r w:rsidRPr="004809BB">
        <w:rPr>
          <w:b/>
          <w:bCs/>
          <w:color w:val="0070C0"/>
        </w:rPr>
        <w:t>health risk.]</w:t>
      </w:r>
    </w:p>
    <w:p w14:paraId="158FD37E" w14:textId="77777777" w:rsidR="003D729C" w:rsidRPr="00F83550" w:rsidRDefault="003D729C" w:rsidP="0051520C"/>
    <w:p w14:paraId="49B143F7" w14:textId="7A0EEE74" w:rsidR="003D729C" w:rsidRPr="00E37957" w:rsidRDefault="003D729C" w:rsidP="0051520C">
      <w:pPr>
        <w:rPr>
          <w:color w:val="FF0000"/>
        </w:rPr>
      </w:pPr>
      <w:r w:rsidRPr="5F94E770">
        <w:rPr>
          <w:b/>
          <w:bCs/>
          <w:highlight w:val="yellow"/>
        </w:rPr>
        <w:t>Low to Moderate</w:t>
      </w:r>
      <w:r w:rsidR="00535D77" w:rsidRPr="5F94E770">
        <w:rPr>
          <w:highlight w:val="yellow"/>
        </w:rPr>
        <w:t xml:space="preserve">. </w:t>
      </w:r>
      <w:r>
        <w:t xml:space="preserve">The long-term health risk is </w:t>
      </w:r>
      <w:r w:rsidR="005A66A7" w:rsidRPr="5F94E770">
        <w:rPr>
          <w:highlight w:val="yellow"/>
        </w:rPr>
        <w:t>L</w:t>
      </w:r>
      <w:r w:rsidRPr="5F94E770">
        <w:rPr>
          <w:highlight w:val="yellow"/>
        </w:rPr>
        <w:t xml:space="preserve">ow </w:t>
      </w:r>
      <w:r>
        <w:t xml:space="preserve">for </w:t>
      </w:r>
      <w:r w:rsidR="00AE0C97" w:rsidRPr="5F94E770">
        <w:rPr>
          <w:highlight w:val="yellow"/>
        </w:rPr>
        <w:t>Year</w:t>
      </w:r>
      <w:r w:rsidRPr="5F94E770">
        <w:rPr>
          <w:highlight w:val="yellow"/>
        </w:rPr>
        <w:t xml:space="preserve"> </w:t>
      </w:r>
      <w:r>
        <w:t xml:space="preserve">and </w:t>
      </w:r>
      <w:r w:rsidR="005A66A7" w:rsidRPr="5F94E770">
        <w:rPr>
          <w:highlight w:val="yellow"/>
        </w:rPr>
        <w:t>M</w:t>
      </w:r>
      <w:r w:rsidRPr="5F94E770">
        <w:rPr>
          <w:highlight w:val="yellow"/>
        </w:rPr>
        <w:t xml:space="preserve">oderate </w:t>
      </w:r>
      <w:r>
        <w:t xml:space="preserve">for </w:t>
      </w:r>
      <w:r w:rsidR="00AE0C97" w:rsidRPr="5F94E770">
        <w:rPr>
          <w:highlight w:val="yellow"/>
        </w:rPr>
        <w:t>Year</w:t>
      </w:r>
      <w:r w:rsidRPr="5F94E770">
        <w:rPr>
          <w:highlight w:val="yellow"/>
        </w:rPr>
        <w:t xml:space="preserve"> based </w:t>
      </w:r>
      <w:r>
        <w:t xml:space="preserve">on </w:t>
      </w:r>
      <w:r w:rsidR="005A66A7">
        <w:t xml:space="preserve">the </w:t>
      </w:r>
      <w:r>
        <w:t>average PM</w:t>
      </w:r>
      <w:r w:rsidRPr="5F94E770">
        <w:rPr>
          <w:rStyle w:val="StyleSubscript"/>
        </w:rPr>
        <w:t>2.5</w:t>
      </w:r>
      <w:r>
        <w:t xml:space="preserve"> concentration, and the likelihood of exposure at this hazard severity level</w:t>
      </w:r>
      <w:r w:rsidR="00535D77">
        <w:t xml:space="preserve">. </w:t>
      </w:r>
      <w:r>
        <w:t xml:space="preserve">A </w:t>
      </w:r>
      <w:r w:rsidRPr="5F94E770">
        <w:rPr>
          <w:highlight w:val="yellow"/>
        </w:rPr>
        <w:t xml:space="preserve">low </w:t>
      </w:r>
      <w:r>
        <w:t xml:space="preserve">health risk for </w:t>
      </w:r>
      <w:r w:rsidR="0013738A">
        <w:t xml:space="preserve">average </w:t>
      </w:r>
      <w:r>
        <w:t>exposure concentrations suggest</w:t>
      </w:r>
      <w:r w:rsidR="00902269">
        <w:t>s</w:t>
      </w:r>
      <w:r>
        <w:t xml:space="preserve"> that </w:t>
      </w:r>
      <w:r w:rsidR="008B530F" w:rsidRPr="5F94E770">
        <w:rPr>
          <w:highlight w:val="yellow"/>
        </w:rPr>
        <w:t xml:space="preserve">long-term </w:t>
      </w:r>
      <w:r w:rsidRPr="5F94E770">
        <w:rPr>
          <w:highlight w:val="yellow"/>
        </w:rPr>
        <w:t>exposure to PM</w:t>
      </w:r>
      <w:r w:rsidRPr="5F94E770">
        <w:rPr>
          <w:rStyle w:val="StyleSubscript"/>
          <w:highlight w:val="yellow"/>
        </w:rPr>
        <w:t xml:space="preserve">2.5 </w:t>
      </w:r>
      <w:r w:rsidR="003B56E9" w:rsidRPr="5F94E770">
        <w:rPr>
          <w:highlight w:val="yellow"/>
        </w:rPr>
        <w:lastRenderedPageBreak/>
        <w:t>was</w:t>
      </w:r>
      <w:r w:rsidRPr="5F94E770">
        <w:rPr>
          <w:highlight w:val="yellow"/>
        </w:rPr>
        <w:t xml:space="preserve"> </w:t>
      </w:r>
      <w:r w:rsidR="00E96494" w:rsidRPr="5F94E770">
        <w:rPr>
          <w:highlight w:val="yellow"/>
        </w:rPr>
        <w:t xml:space="preserve">not </w:t>
      </w:r>
      <w:r w:rsidRPr="5F94E770">
        <w:rPr>
          <w:highlight w:val="yellow"/>
        </w:rPr>
        <w:t>expected to</w:t>
      </w:r>
      <w:r w:rsidR="0013738A" w:rsidRPr="5F94E770">
        <w:rPr>
          <w:highlight w:val="yellow"/>
        </w:rPr>
        <w:t xml:space="preserve"> result in specific future medical action</w:t>
      </w:r>
      <w:r w:rsidR="00E96494" w:rsidRPr="5F94E770">
        <w:rPr>
          <w:highlight w:val="yellow"/>
        </w:rPr>
        <w:t xml:space="preserve"> for the population</w:t>
      </w:r>
      <w:r w:rsidR="00535D77" w:rsidRPr="5F94E770">
        <w:rPr>
          <w:highlight w:val="yellow"/>
        </w:rPr>
        <w:t xml:space="preserve">. </w:t>
      </w:r>
      <w:r>
        <w:t xml:space="preserve">A </w:t>
      </w:r>
      <w:r w:rsidRPr="5F94E770">
        <w:rPr>
          <w:highlight w:val="yellow"/>
        </w:rPr>
        <w:t xml:space="preserve">moderate </w:t>
      </w:r>
      <w:r>
        <w:t xml:space="preserve">health risk suggests </w:t>
      </w:r>
      <w:r w:rsidR="008B530F">
        <w:t xml:space="preserve">that </w:t>
      </w:r>
      <w:r w:rsidR="008B530F" w:rsidRPr="5F94E770">
        <w:rPr>
          <w:highlight w:val="yellow"/>
        </w:rPr>
        <w:t>long-term exposure to PM</w:t>
      </w:r>
      <w:r w:rsidR="008B530F" w:rsidRPr="5F94E770">
        <w:rPr>
          <w:rStyle w:val="StyleSubscript"/>
          <w:highlight w:val="yellow"/>
        </w:rPr>
        <w:t xml:space="preserve">2.5 </w:t>
      </w:r>
      <w:r w:rsidR="003B56E9" w:rsidRPr="5F94E770">
        <w:rPr>
          <w:highlight w:val="yellow"/>
        </w:rPr>
        <w:t>was expected to</w:t>
      </w:r>
      <w:r w:rsidR="0013738A" w:rsidRPr="5F94E770">
        <w:rPr>
          <w:highlight w:val="yellow"/>
        </w:rPr>
        <w:t xml:space="preserve"> require limited future medical surveillance activities for the population</w:t>
      </w:r>
      <w:r w:rsidRPr="5F94E770">
        <w:rPr>
          <w:highlight w:val="yellow"/>
        </w:rPr>
        <w:t xml:space="preserve"> (</w:t>
      </w:r>
      <w:r>
        <w:t xml:space="preserve">Reference </w:t>
      </w:r>
      <w:r w:rsidR="00622E42" w:rsidRPr="5F94E770">
        <w:rPr>
          <w:highlight w:val="yellow"/>
        </w:rPr>
        <w:t>XX</w:t>
      </w:r>
      <w:r>
        <w:t>, Table 3-3)</w:t>
      </w:r>
      <w:r w:rsidR="00535D77">
        <w:t xml:space="preserve">. </w:t>
      </w:r>
      <w:r>
        <w:t>Confidence in the long-term PM</w:t>
      </w:r>
      <w:r w:rsidRPr="5F94E770">
        <w:rPr>
          <w:rStyle w:val="StyleSubscript"/>
        </w:rPr>
        <w:t>2.5</w:t>
      </w:r>
      <w:r>
        <w:t xml:space="preserve"> health risk assessment is </w:t>
      </w:r>
      <w:r w:rsidRPr="5F94E770">
        <w:rPr>
          <w:highlight w:val="yellow"/>
        </w:rPr>
        <w:t>low</w:t>
      </w:r>
      <w:r>
        <w:t xml:space="preserve"> (Reference </w:t>
      </w:r>
      <w:r w:rsidR="00622E42" w:rsidRPr="5F94E770">
        <w:rPr>
          <w:highlight w:val="yellow"/>
        </w:rPr>
        <w:t>XX</w:t>
      </w:r>
      <w:r>
        <w:t>, Table 3-6).</w:t>
      </w:r>
      <w:r w:rsidR="00E37957">
        <w:t xml:space="preserve"> </w:t>
      </w:r>
      <w:r w:rsidR="00E37957" w:rsidRPr="006E335E">
        <w:rPr>
          <w:color w:val="0070C0"/>
        </w:rPr>
        <w:t>[Provide justification for selecting a confidence</w:t>
      </w:r>
      <w:r w:rsidR="00096775">
        <w:rPr>
          <w:color w:val="0070C0"/>
        </w:rPr>
        <w:t xml:space="preserve"> level</w:t>
      </w:r>
      <w:r w:rsidR="00E37957" w:rsidRPr="006E335E">
        <w:rPr>
          <w:color w:val="0070C0"/>
        </w:rPr>
        <w:t>.]</w:t>
      </w:r>
    </w:p>
    <w:p w14:paraId="3089479A" w14:textId="77777777" w:rsidR="003D729C" w:rsidRPr="00F83550" w:rsidRDefault="003D729C" w:rsidP="0051520C">
      <w:pPr>
        <w:rPr>
          <w:highlight w:val="green"/>
        </w:rPr>
      </w:pPr>
    </w:p>
    <w:p w14:paraId="1D8CB5DD" w14:textId="26B80F66" w:rsidR="003D729C" w:rsidRDefault="003D729C" w:rsidP="0051520C">
      <w:r w:rsidRPr="005A66A7">
        <w:t xml:space="preserve">The hazard severity was </w:t>
      </w:r>
      <w:r w:rsidR="00B33FB3">
        <w:rPr>
          <w:bCs/>
          <w:highlight w:val="yellow"/>
        </w:rPr>
        <w:t>Negligible</w:t>
      </w:r>
      <w:r w:rsidR="00B33FB3" w:rsidRPr="00AE0C97">
        <w:rPr>
          <w:highlight w:val="yellow"/>
        </w:rPr>
        <w:t xml:space="preserve"> </w:t>
      </w:r>
      <w:r w:rsidRPr="005A66A7">
        <w:t>for average PM</w:t>
      </w:r>
      <w:r w:rsidRPr="00424231">
        <w:rPr>
          <w:rStyle w:val="StyleSubscript"/>
        </w:rPr>
        <w:t>2.5</w:t>
      </w:r>
      <w:r w:rsidRPr="005A66A7">
        <w:t xml:space="preserve"> sample concentrations</w:t>
      </w:r>
      <w:r w:rsidR="00535D77" w:rsidRPr="005A66A7">
        <w:t xml:space="preserve">. </w:t>
      </w:r>
      <w:r w:rsidR="005A66A7">
        <w:rPr>
          <w:color w:val="000000"/>
          <w:highlight w:val="yellow"/>
        </w:rPr>
        <w:t>W</w:t>
      </w:r>
      <w:r w:rsidRPr="00AE0C97">
        <w:rPr>
          <w:color w:val="000000"/>
          <w:highlight w:val="yellow"/>
        </w:rPr>
        <w:t>ith repeated exposures</w:t>
      </w:r>
      <w:r w:rsidR="00B7184B">
        <w:rPr>
          <w:color w:val="000000"/>
          <w:highlight w:val="yellow"/>
        </w:rPr>
        <w:t>,</w:t>
      </w:r>
      <w:r w:rsidRPr="00AE0C97">
        <w:rPr>
          <w:color w:val="000000"/>
          <w:highlight w:val="yellow"/>
        </w:rPr>
        <w:t xml:space="preserve"> it is plausible that </w:t>
      </w:r>
      <w:r w:rsidR="004F007C" w:rsidRPr="004F007C">
        <w:rPr>
          <w:color w:val="000000"/>
          <w:highlight w:val="yellow"/>
        </w:rPr>
        <w:t xml:space="preserve">a </w:t>
      </w:r>
      <w:r w:rsidR="004F007C" w:rsidRPr="004F007C">
        <w:rPr>
          <w:highlight w:val="yellow"/>
        </w:rPr>
        <w:t>small percentage of personnel may be at increased risk for developing chronic conditions</w:t>
      </w:r>
      <w:r w:rsidR="004F007C">
        <w:rPr>
          <w:highlight w:val="yellow"/>
        </w:rPr>
        <w:t xml:space="preserve"> (e.g.</w:t>
      </w:r>
      <w:r w:rsidR="004F007C" w:rsidRPr="004F007C">
        <w:rPr>
          <w:highlight w:val="yellow"/>
        </w:rPr>
        <w:t xml:space="preserve">, </w:t>
      </w:r>
      <w:r w:rsidR="004F007C">
        <w:rPr>
          <w:highlight w:val="yellow"/>
        </w:rPr>
        <w:t>reduced lung function</w:t>
      </w:r>
      <w:r w:rsidR="0021742C">
        <w:rPr>
          <w:highlight w:val="yellow"/>
        </w:rPr>
        <w:t xml:space="preserve">, </w:t>
      </w:r>
      <w:r w:rsidR="004F007C">
        <w:rPr>
          <w:highlight w:val="yellow"/>
        </w:rPr>
        <w:t>exacerbated chronic bronchitis, asthma, or cardiopulmonary diseases)</w:t>
      </w:r>
      <w:r w:rsidR="00DA7421">
        <w:rPr>
          <w:highlight w:val="yellow"/>
        </w:rPr>
        <w:t>,</w:t>
      </w:r>
      <w:r w:rsidR="004F007C">
        <w:rPr>
          <w:highlight w:val="yellow"/>
        </w:rPr>
        <w:t xml:space="preserve"> </w:t>
      </w:r>
      <w:r w:rsidR="004F007C" w:rsidRPr="004F007C">
        <w:rPr>
          <w:highlight w:val="yellow"/>
        </w:rPr>
        <w:t xml:space="preserve">particularly those more susceptible to acute effects (e.g., those </w:t>
      </w:r>
      <w:r w:rsidR="004F007C">
        <w:rPr>
          <w:highlight w:val="yellow"/>
        </w:rPr>
        <w:t xml:space="preserve">with asthma or </w:t>
      </w:r>
      <w:r w:rsidR="0021742C">
        <w:rPr>
          <w:highlight w:val="yellow"/>
        </w:rPr>
        <w:t>pre-</w:t>
      </w:r>
      <w:r w:rsidR="004F007C" w:rsidRPr="004F007C">
        <w:rPr>
          <w:highlight w:val="yellow"/>
        </w:rPr>
        <w:t>existing</w:t>
      </w:r>
      <w:r w:rsidR="0021742C">
        <w:rPr>
          <w:highlight w:val="yellow"/>
        </w:rPr>
        <w:t>/underlying</w:t>
      </w:r>
      <w:r w:rsidR="004F007C" w:rsidRPr="004F007C">
        <w:rPr>
          <w:highlight w:val="yellow"/>
        </w:rPr>
        <w:t xml:space="preserve"> respiratory diseases).</w:t>
      </w:r>
      <w:r w:rsidR="00DA7421">
        <w:rPr>
          <w:highlight w:val="yellow"/>
        </w:rPr>
        <w:t xml:space="preserve"> </w:t>
      </w:r>
      <w:r w:rsidRPr="00AE0C97">
        <w:rPr>
          <w:color w:val="000000"/>
          <w:highlight w:val="yellow"/>
        </w:rPr>
        <w:t xml:space="preserve">Those with a history of asthma </w:t>
      </w:r>
      <w:r w:rsidR="0021742C">
        <w:rPr>
          <w:color w:val="000000"/>
          <w:highlight w:val="yellow"/>
        </w:rPr>
        <w:t>and/</w:t>
      </w:r>
      <w:r w:rsidRPr="00AE0C97">
        <w:rPr>
          <w:color w:val="000000"/>
          <w:highlight w:val="yellow"/>
        </w:rPr>
        <w:t xml:space="preserve">or cardiopulmonary disease </w:t>
      </w:r>
      <w:proofErr w:type="gramStart"/>
      <w:r w:rsidRPr="00AE0C97">
        <w:rPr>
          <w:color w:val="000000"/>
          <w:highlight w:val="yellow"/>
        </w:rPr>
        <w:t>are considered to be</w:t>
      </w:r>
      <w:proofErr w:type="gramEnd"/>
      <w:r w:rsidRPr="00AE0C97">
        <w:rPr>
          <w:color w:val="000000"/>
          <w:highlight w:val="yellow"/>
        </w:rPr>
        <w:t xml:space="preserve"> at particular risk</w:t>
      </w:r>
      <w:r w:rsidRPr="00AE0C97">
        <w:rPr>
          <w:highlight w:val="yellow"/>
        </w:rPr>
        <w:t xml:space="preserve"> </w:t>
      </w:r>
      <w:r w:rsidRPr="005571DE">
        <w:t xml:space="preserve">(Reference </w:t>
      </w:r>
      <w:r w:rsidR="00622E42" w:rsidRPr="00622E42">
        <w:rPr>
          <w:highlight w:val="yellow"/>
        </w:rPr>
        <w:t>XX</w:t>
      </w:r>
      <w:r w:rsidRPr="005571DE">
        <w:t>, Table 3-12).</w:t>
      </w:r>
    </w:p>
    <w:p w14:paraId="151E9EB8" w14:textId="5654368E" w:rsidR="00DA2634" w:rsidRDefault="00DA2634" w:rsidP="0051520C"/>
    <w:p w14:paraId="77BDCF9B" w14:textId="41D2C5AC" w:rsidR="00DA2634" w:rsidRPr="005571DE" w:rsidRDefault="00DA2634" w:rsidP="0051520C">
      <w:bookmarkStart w:id="34" w:name="_Hlk169170132"/>
      <w:r>
        <w:t>It is possible that some otherwise healthy individuals who experienced PM</w:t>
      </w:r>
      <w:r w:rsidRPr="33C63274">
        <w:rPr>
          <w:vertAlign w:val="subscript"/>
        </w:rPr>
        <w:t>2.5</w:t>
      </w:r>
      <w:r>
        <w:t xml:space="preserve"> exposures for an extended duration of time, especially at higher levels, could have health effects (e.g., reduced lung function, cardiovascular disease, pulmonary disease, cancer) that will not resolve after the exposure ends. </w:t>
      </w:r>
      <w:bookmarkEnd w:id="34"/>
      <w:r>
        <w:t xml:space="preserve">Personnel with a history of asthma and/or cardiopulmonary disease could potentially be more likely to develop such chronic health conditions. </w:t>
      </w:r>
      <w:r w:rsidR="003372F4">
        <w:t>T</w:t>
      </w:r>
      <w:r>
        <w:t>he contribution of chronic PM</w:t>
      </w:r>
      <w:r w:rsidRPr="33C63274">
        <w:rPr>
          <w:vertAlign w:val="subscript"/>
        </w:rPr>
        <w:t xml:space="preserve">2.5 </w:t>
      </w:r>
      <w:r>
        <w:t>exposures to an individual’s present health status</w:t>
      </w:r>
      <w:r w:rsidR="003372F4">
        <w:t xml:space="preserve"> should be considered</w:t>
      </w:r>
      <w:r>
        <w:t xml:space="preserve">, especially in </w:t>
      </w:r>
      <w:r w:rsidR="002D2D4D">
        <w:t>individuals</w:t>
      </w:r>
      <w:r>
        <w:t xml:space="preserve"> with underlying conditions or susceptibilities (e.g., asthma, older age). Certain </w:t>
      </w:r>
      <w:r w:rsidR="002D2D4D">
        <w:t>individual</w:t>
      </w:r>
      <w:r>
        <w:t>s might have had unique exposures (due to their occupation</w:t>
      </w:r>
      <w:r w:rsidR="002D2D4D">
        <w:t xml:space="preserve"> while deployed</w:t>
      </w:r>
      <w:r>
        <w:t xml:space="preserve">) that might have been contributory to long-term adverse health outcomes. </w:t>
      </w:r>
    </w:p>
    <w:p w14:paraId="7CA007EE" w14:textId="47C62082" w:rsidR="00791A7F" w:rsidRPr="003D729C" w:rsidRDefault="00791A7F" w:rsidP="0051520C">
      <w:bookmarkStart w:id="35" w:name="PM25long"/>
    </w:p>
    <w:bookmarkEnd w:id="35"/>
    <w:p w14:paraId="38AF35FF" w14:textId="03FA21C9" w:rsidR="00F65024" w:rsidRPr="00031169" w:rsidRDefault="00F65024" w:rsidP="00580B36">
      <w:pPr>
        <w:pStyle w:val="Heading2"/>
      </w:pPr>
      <w:commentRangeStart w:id="36"/>
      <w:commentRangeEnd w:id="36"/>
      <w:r>
        <w:rPr>
          <w:rStyle w:val="CommentReference"/>
        </w:rPr>
        <w:commentReference w:id="36"/>
      </w:r>
      <w:r w:rsidRPr="00031169">
        <w:t>Metals</w:t>
      </w:r>
      <w:r w:rsidR="0052546B">
        <w:t xml:space="preserve"> from PM</w:t>
      </w:r>
    </w:p>
    <w:p w14:paraId="19A3A0E7" w14:textId="77777777" w:rsidR="00147811" w:rsidRDefault="00147811" w:rsidP="0051520C"/>
    <w:p w14:paraId="05237287" w14:textId="06893198" w:rsidR="00C57F8C" w:rsidRDefault="00C57F8C" w:rsidP="00FD4769">
      <w:pPr>
        <w:pStyle w:val="Heading3"/>
      </w:pPr>
      <w:r w:rsidRPr="006A52F8">
        <w:rPr>
          <w:highlight w:val="yellow"/>
        </w:rPr>
        <w:t>Exposure Guidelines</w:t>
      </w:r>
    </w:p>
    <w:p w14:paraId="119D315F" w14:textId="77777777" w:rsidR="004809BB" w:rsidRDefault="004809BB" w:rsidP="004809BB"/>
    <w:p w14:paraId="6510BBF1" w14:textId="68B6506D" w:rsidR="004809BB" w:rsidRPr="004809BB" w:rsidRDefault="004809BB" w:rsidP="004809BB">
      <w:pPr>
        <w:rPr>
          <w:rFonts w:cs="Arial"/>
          <w:b/>
          <w:bCs/>
          <w:color w:val="0070C0"/>
        </w:rPr>
      </w:pPr>
      <w:r w:rsidRPr="004809BB">
        <w:rPr>
          <w:rFonts w:cs="Arial"/>
          <w:b/>
          <w:bCs/>
          <w:color w:val="0070C0"/>
        </w:rPr>
        <w:t>[</w:t>
      </w:r>
      <w:r w:rsidRPr="004809BB">
        <w:rPr>
          <w:rStyle w:val="cf01"/>
          <w:rFonts w:ascii="Arial" w:hAnsi="Arial" w:cs="Arial"/>
          <w:b/>
          <w:bCs/>
          <w:color w:val="0070C0"/>
          <w:sz w:val="24"/>
          <w:szCs w:val="24"/>
        </w:rPr>
        <w:t xml:space="preserve">If a metal exceeds the 1-year Negligible MEG and is carried through the short or long-term risk assessment, provide MEGs for that metal in this </w:t>
      </w:r>
      <w:r>
        <w:rPr>
          <w:rStyle w:val="cf01"/>
          <w:rFonts w:ascii="Arial" w:hAnsi="Arial" w:cs="Arial"/>
          <w:b/>
          <w:bCs/>
          <w:color w:val="0070C0"/>
          <w:sz w:val="24"/>
          <w:szCs w:val="24"/>
        </w:rPr>
        <w:t>s</w:t>
      </w:r>
      <w:r w:rsidRPr="004809BB">
        <w:rPr>
          <w:rStyle w:val="cf01"/>
          <w:rFonts w:ascii="Arial" w:hAnsi="Arial" w:cs="Arial"/>
          <w:b/>
          <w:bCs/>
          <w:color w:val="0070C0"/>
          <w:sz w:val="24"/>
          <w:szCs w:val="24"/>
        </w:rPr>
        <w:t>ection</w:t>
      </w:r>
      <w:r w:rsidR="00683383">
        <w:rPr>
          <w:rStyle w:val="cf01"/>
          <w:rFonts w:ascii="Arial" w:hAnsi="Arial" w:cs="Arial"/>
          <w:b/>
          <w:bCs/>
          <w:color w:val="0070C0"/>
          <w:sz w:val="24"/>
          <w:szCs w:val="24"/>
        </w:rPr>
        <w:t>,</w:t>
      </w:r>
      <w:r w:rsidRPr="004809BB">
        <w:rPr>
          <w:rStyle w:val="cf01"/>
          <w:rFonts w:ascii="Arial" w:hAnsi="Arial" w:cs="Arial"/>
          <w:b/>
          <w:bCs/>
          <w:color w:val="0070C0"/>
          <w:sz w:val="24"/>
          <w:szCs w:val="24"/>
        </w:rPr>
        <w:t xml:space="preserve"> otherwise delete.]</w:t>
      </w:r>
    </w:p>
    <w:p w14:paraId="77AB0277" w14:textId="40A13AA7" w:rsidR="00C57F8C" w:rsidRDefault="00C57F8C" w:rsidP="0051520C"/>
    <w:p w14:paraId="2EA6DFA1" w14:textId="61C4B04E" w:rsidR="006A52F8" w:rsidRPr="00F83550" w:rsidRDefault="006A52F8" w:rsidP="00FD4769">
      <w:pPr>
        <w:pStyle w:val="Heading3"/>
      </w:pPr>
      <w:r>
        <w:t>Metals from PM</w:t>
      </w:r>
      <w:r w:rsidRPr="5F94E770">
        <w:rPr>
          <w:vertAlign w:val="subscript"/>
        </w:rPr>
        <w:t>10</w:t>
      </w:r>
    </w:p>
    <w:p w14:paraId="79DF694E" w14:textId="5EB9F623" w:rsidR="00852EBA" w:rsidRPr="00F83550" w:rsidRDefault="00852EBA" w:rsidP="00013267">
      <w:pPr>
        <w:pStyle w:val="Heading4"/>
      </w:pPr>
      <w:r w:rsidRPr="00F83550">
        <w:t xml:space="preserve">Sample </w:t>
      </w:r>
      <w:r w:rsidR="000D09F5" w:rsidRPr="00F83550">
        <w:t>Data/Notes</w:t>
      </w:r>
      <w:r w:rsidRPr="00F83550">
        <w:t>:</w:t>
      </w:r>
    </w:p>
    <w:p w14:paraId="0AD7DF22" w14:textId="77777777" w:rsidR="00852EBA" w:rsidRPr="00F83550" w:rsidRDefault="00852EBA" w:rsidP="0051520C"/>
    <w:p w14:paraId="3E91402E" w14:textId="743FC206" w:rsidR="00252E55" w:rsidRDefault="00852EBA" w:rsidP="0051520C">
      <w:r>
        <w:t xml:space="preserve">A total of </w:t>
      </w:r>
      <w:r w:rsidRPr="33C63274">
        <w:rPr>
          <w:highlight w:val="yellow"/>
        </w:rPr>
        <w:t>XX</w:t>
      </w:r>
      <w:r>
        <w:t xml:space="preserve"> valid </w:t>
      </w:r>
      <w:r w:rsidRPr="33C63274">
        <w:rPr>
          <w:highlight w:val="yellow"/>
        </w:rPr>
        <w:t>PM</w:t>
      </w:r>
      <w:r w:rsidRPr="33C63274">
        <w:rPr>
          <w:rStyle w:val="StyleSubscript"/>
          <w:highlight w:val="yellow"/>
        </w:rPr>
        <w:t>10</w:t>
      </w:r>
      <w:r w:rsidR="00011FB3">
        <w:t xml:space="preserve"> </w:t>
      </w:r>
      <w:r>
        <w:t xml:space="preserve">samples were </w:t>
      </w:r>
      <w:r w:rsidR="0052546B">
        <w:t>analyzed for metals</w:t>
      </w:r>
      <w:r>
        <w:t xml:space="preserve"> at </w:t>
      </w:r>
      <w:r w:rsidRPr="33C63274">
        <w:rPr>
          <w:highlight w:val="green"/>
        </w:rPr>
        <w:t>Camp XXX</w:t>
      </w:r>
      <w:r>
        <w:t xml:space="preserve"> from </w:t>
      </w:r>
      <w:r w:rsidRPr="33C63274">
        <w:rPr>
          <w:highlight w:val="yellow"/>
        </w:rPr>
        <w:t>Year</w:t>
      </w:r>
      <w:r>
        <w:t xml:space="preserve"> to </w:t>
      </w:r>
      <w:r w:rsidRPr="33C63274">
        <w:rPr>
          <w:highlight w:val="yellow"/>
        </w:rPr>
        <w:t>Year</w:t>
      </w:r>
      <w:r w:rsidR="007A2196">
        <w:t xml:space="preserve"> to assess OEH health risk to deployed personnel</w:t>
      </w:r>
      <w:r w:rsidR="0053222F">
        <w:t xml:space="preserve">. </w:t>
      </w:r>
    </w:p>
    <w:p w14:paraId="524ECB33" w14:textId="127359D2" w:rsidR="00252E55" w:rsidRDefault="00252E55" w:rsidP="0010791E">
      <w:pPr>
        <w:pStyle w:val="Heading4"/>
      </w:pPr>
      <w:r>
        <w:t xml:space="preserve"> S</w:t>
      </w:r>
      <w:r w:rsidR="00011FB3">
        <w:t xml:space="preserve">hort-term and Long-term </w:t>
      </w:r>
      <w:r w:rsidR="000D09F5">
        <w:t>Health Risks</w:t>
      </w:r>
    </w:p>
    <w:p w14:paraId="16223AF0" w14:textId="3DC27059" w:rsidR="004809BB" w:rsidRPr="004809BB" w:rsidRDefault="004809BB" w:rsidP="004809BB">
      <w:pPr>
        <w:pStyle w:val="pf0"/>
        <w:rPr>
          <w:rFonts w:ascii="Arial" w:hAnsi="Arial" w:cs="Arial"/>
          <w:b/>
          <w:bCs/>
          <w:color w:val="0070C0"/>
        </w:rPr>
      </w:pPr>
      <w:r w:rsidRPr="004809BB">
        <w:rPr>
          <w:rFonts w:ascii="Arial" w:hAnsi="Arial" w:cs="Arial"/>
          <w:b/>
          <w:bCs/>
          <w:color w:val="0070C0"/>
        </w:rPr>
        <w:t>[</w:t>
      </w:r>
      <w:r w:rsidRPr="004809BB">
        <w:rPr>
          <w:rStyle w:val="cf01"/>
          <w:rFonts w:ascii="Arial" w:hAnsi="Arial" w:cs="Arial"/>
          <w:b/>
          <w:bCs/>
          <w:color w:val="0070C0"/>
          <w:sz w:val="24"/>
          <w:szCs w:val="24"/>
        </w:rPr>
        <w:t>If have same conclusion for short and long-term health risk, combine sections. If not, then separate into Short-term health risks and Long-term health risks.</w:t>
      </w:r>
      <w:r>
        <w:rPr>
          <w:rStyle w:val="cf01"/>
          <w:rFonts w:ascii="Arial" w:hAnsi="Arial" w:cs="Arial"/>
          <w:b/>
          <w:bCs/>
          <w:color w:val="0070C0"/>
          <w:sz w:val="24"/>
          <w:szCs w:val="24"/>
        </w:rPr>
        <w:t>]</w:t>
      </w:r>
    </w:p>
    <w:p w14:paraId="7CEBFE07" w14:textId="6BEE075A" w:rsidR="007542C0" w:rsidRDefault="007542C0" w:rsidP="0051520C">
      <w:r w:rsidRPr="007542C0">
        <w:rPr>
          <w:b/>
          <w:highlight w:val="yellow"/>
        </w:rPr>
        <w:t>None identified based on available sample data.</w:t>
      </w:r>
      <w:r w:rsidRPr="00A74718">
        <w:rPr>
          <w:b/>
        </w:rPr>
        <w:t xml:space="preserve"> </w:t>
      </w:r>
      <w:r w:rsidRPr="00D94062">
        <w:rPr>
          <w:highlight w:val="yellow"/>
        </w:rPr>
        <w:t xml:space="preserve">No </w:t>
      </w:r>
      <w:r>
        <w:rPr>
          <w:highlight w:val="yellow"/>
        </w:rPr>
        <w:t>metal concentrations</w:t>
      </w:r>
      <w:r w:rsidRPr="00D94062">
        <w:rPr>
          <w:highlight w:val="yellow"/>
        </w:rPr>
        <w:t xml:space="preserve"> exceeded the</w:t>
      </w:r>
      <w:r w:rsidR="002748DB">
        <w:rPr>
          <w:highlight w:val="yellow"/>
        </w:rPr>
        <w:t>ir respective</w:t>
      </w:r>
      <w:r w:rsidRPr="00D94062">
        <w:rPr>
          <w:highlight w:val="yellow"/>
        </w:rPr>
        <w:t xml:space="preserve"> 1-year Negligible MEGs.</w:t>
      </w:r>
    </w:p>
    <w:p w14:paraId="6D36D1AA" w14:textId="38FE12CE" w:rsidR="00011FB3" w:rsidRDefault="00011FB3" w:rsidP="0051520C"/>
    <w:p w14:paraId="069729C9" w14:textId="47A9EDB5" w:rsidR="00011FB3" w:rsidRPr="0010791E" w:rsidRDefault="00011FB3" w:rsidP="0010791E">
      <w:pPr>
        <w:pStyle w:val="Heading3"/>
      </w:pPr>
      <w:r>
        <w:lastRenderedPageBreak/>
        <w:t>Metals from PM</w:t>
      </w:r>
      <w:r w:rsidR="001533B1" w:rsidRPr="043D9769">
        <w:rPr>
          <w:vertAlign w:val="subscript"/>
        </w:rPr>
        <w:t>2.5</w:t>
      </w:r>
    </w:p>
    <w:p w14:paraId="120FB416" w14:textId="0EAEAD3F" w:rsidR="001533B1" w:rsidRPr="00013267" w:rsidRDefault="001533B1" w:rsidP="00013267">
      <w:pPr>
        <w:pStyle w:val="Heading4"/>
      </w:pPr>
      <w:r w:rsidRPr="00013267">
        <w:t xml:space="preserve">Sample </w:t>
      </w:r>
      <w:r w:rsidR="000D09F5" w:rsidRPr="00013267">
        <w:t>Data/Note</w:t>
      </w:r>
      <w:r w:rsidRPr="00013267">
        <w:t>s:</w:t>
      </w:r>
    </w:p>
    <w:p w14:paraId="7F7C712D" w14:textId="77777777" w:rsidR="001533B1" w:rsidRPr="00F83550" w:rsidRDefault="001533B1" w:rsidP="0051520C"/>
    <w:p w14:paraId="640ECC99" w14:textId="4BB68D10" w:rsidR="001533B1" w:rsidRDefault="001533B1" w:rsidP="0051520C">
      <w:r>
        <w:t xml:space="preserve">A total of </w:t>
      </w:r>
      <w:r w:rsidRPr="33C63274">
        <w:rPr>
          <w:highlight w:val="yellow"/>
        </w:rPr>
        <w:t>XX</w:t>
      </w:r>
      <w:r>
        <w:t xml:space="preserve"> valid </w:t>
      </w:r>
      <w:r w:rsidRPr="33C63274">
        <w:rPr>
          <w:highlight w:val="yellow"/>
        </w:rPr>
        <w:t>PM</w:t>
      </w:r>
      <w:r w:rsidRPr="33C63274">
        <w:rPr>
          <w:rStyle w:val="StyleSubscript"/>
          <w:highlight w:val="yellow"/>
        </w:rPr>
        <w:t>2.5</w:t>
      </w:r>
      <w:r>
        <w:t xml:space="preserve"> samples were </w:t>
      </w:r>
      <w:r w:rsidR="0052546B">
        <w:t>analyzed for metals</w:t>
      </w:r>
      <w:r>
        <w:t xml:space="preserve"> at </w:t>
      </w:r>
      <w:r w:rsidRPr="33C63274">
        <w:rPr>
          <w:highlight w:val="green"/>
        </w:rPr>
        <w:t>Camp XXX</w:t>
      </w:r>
      <w:r>
        <w:t xml:space="preserve"> from </w:t>
      </w:r>
      <w:r w:rsidRPr="33C63274">
        <w:rPr>
          <w:highlight w:val="yellow"/>
        </w:rPr>
        <w:t>Year</w:t>
      </w:r>
      <w:r>
        <w:t xml:space="preserve"> to </w:t>
      </w:r>
      <w:r w:rsidRPr="33C63274">
        <w:rPr>
          <w:highlight w:val="yellow"/>
        </w:rPr>
        <w:t>Year</w:t>
      </w:r>
      <w:r w:rsidR="00755548">
        <w:t xml:space="preserve"> to assess OEH health risk to deployed personnel</w:t>
      </w:r>
      <w:r w:rsidR="00666C43">
        <w:t>.</w:t>
      </w:r>
    </w:p>
    <w:p w14:paraId="784BDD86" w14:textId="47B453A5" w:rsidR="007233EF" w:rsidRDefault="007233EF" w:rsidP="00013267">
      <w:pPr>
        <w:pStyle w:val="Heading4"/>
      </w:pPr>
      <w:r w:rsidRPr="00796E51">
        <w:rPr>
          <w:highlight w:val="yellow"/>
        </w:rPr>
        <w:t xml:space="preserve">Short-term and Long-term </w:t>
      </w:r>
      <w:r w:rsidR="000D09F5">
        <w:t>Health Risks</w:t>
      </w:r>
    </w:p>
    <w:p w14:paraId="117E526C" w14:textId="77777777" w:rsidR="007233EF" w:rsidRDefault="007233EF" w:rsidP="0051520C"/>
    <w:p w14:paraId="362CACB6" w14:textId="0C1F1541" w:rsidR="007233EF" w:rsidRDefault="007542C0" w:rsidP="0051520C">
      <w:r w:rsidRPr="007542C0">
        <w:rPr>
          <w:b/>
          <w:highlight w:val="yellow"/>
        </w:rPr>
        <w:t>None identified based on available sample data.</w:t>
      </w:r>
      <w:r w:rsidRPr="00A74718">
        <w:rPr>
          <w:b/>
        </w:rPr>
        <w:t xml:space="preserve"> </w:t>
      </w:r>
      <w:r w:rsidRPr="00D94062">
        <w:rPr>
          <w:highlight w:val="yellow"/>
        </w:rPr>
        <w:t xml:space="preserve">No </w:t>
      </w:r>
      <w:r>
        <w:rPr>
          <w:highlight w:val="yellow"/>
        </w:rPr>
        <w:t>metal</w:t>
      </w:r>
      <w:r w:rsidR="00273482">
        <w:rPr>
          <w:highlight w:val="yellow"/>
        </w:rPr>
        <w:t>s</w:t>
      </w:r>
      <w:r>
        <w:rPr>
          <w:highlight w:val="yellow"/>
        </w:rPr>
        <w:t xml:space="preserve"> concentrations</w:t>
      </w:r>
      <w:r w:rsidRPr="00D94062">
        <w:rPr>
          <w:highlight w:val="yellow"/>
        </w:rPr>
        <w:t xml:space="preserve"> exceeded </w:t>
      </w:r>
      <w:r w:rsidR="00DA4995" w:rsidRPr="00D94062">
        <w:rPr>
          <w:highlight w:val="yellow"/>
        </w:rPr>
        <w:t>the</w:t>
      </w:r>
      <w:r w:rsidR="00DA4995">
        <w:rPr>
          <w:highlight w:val="yellow"/>
        </w:rPr>
        <w:t>ir respective</w:t>
      </w:r>
      <w:r w:rsidRPr="00D94062">
        <w:rPr>
          <w:highlight w:val="yellow"/>
        </w:rPr>
        <w:t xml:space="preserve"> 1-year Negligible MEGs.</w:t>
      </w:r>
    </w:p>
    <w:p w14:paraId="2E77D885" w14:textId="3CD6160A" w:rsidR="00E52873" w:rsidRPr="00D76063" w:rsidRDefault="00E52873" w:rsidP="0051520C">
      <w:pPr>
        <w:rPr>
          <w:highlight w:val="yellow"/>
        </w:rPr>
      </w:pPr>
    </w:p>
    <w:p w14:paraId="24413E89" w14:textId="5A1EEEFE" w:rsidR="00F65024" w:rsidRPr="00A74718" w:rsidRDefault="00F65024" w:rsidP="00580B36">
      <w:pPr>
        <w:pStyle w:val="Heading2"/>
      </w:pPr>
      <w:r w:rsidRPr="00A74718">
        <w:t>V</w:t>
      </w:r>
      <w:r>
        <w:t xml:space="preserve">olatile </w:t>
      </w:r>
      <w:r w:rsidRPr="00A74718">
        <w:t>O</w:t>
      </w:r>
      <w:r>
        <w:t xml:space="preserve">rganic </w:t>
      </w:r>
      <w:r w:rsidRPr="00A74718">
        <w:t>C</w:t>
      </w:r>
      <w:r>
        <w:t>ompound</w:t>
      </w:r>
      <w:r w:rsidRPr="00A74718">
        <w:t>s</w:t>
      </w:r>
    </w:p>
    <w:p w14:paraId="12B15EF1" w14:textId="77777777" w:rsidR="00E52873" w:rsidRDefault="00E52873" w:rsidP="0051520C"/>
    <w:p w14:paraId="3CDDB160" w14:textId="49BA5AF3" w:rsidR="004809BB" w:rsidRPr="005E4DB2" w:rsidRDefault="004809BB" w:rsidP="0051520C">
      <w:pPr>
        <w:rPr>
          <w:rFonts w:cs="Arial"/>
          <w:b/>
          <w:bCs/>
          <w:color w:val="0070C0"/>
        </w:rPr>
      </w:pPr>
      <w:r w:rsidRPr="005E4DB2">
        <w:rPr>
          <w:rFonts w:cs="Arial"/>
          <w:b/>
          <w:bCs/>
          <w:color w:val="0070C0"/>
        </w:rPr>
        <w:t>[</w:t>
      </w:r>
      <w:r w:rsidRPr="005E4DB2">
        <w:rPr>
          <w:rStyle w:val="cf01"/>
          <w:rFonts w:ascii="Arial" w:hAnsi="Arial" w:cs="Arial"/>
          <w:b/>
          <w:bCs/>
          <w:color w:val="0070C0"/>
          <w:sz w:val="24"/>
          <w:szCs w:val="24"/>
        </w:rPr>
        <w:t>If no VOC data – delete Exposure Guidelines, Sample data/Notes, and Short-term and Long-term health risks sections and add “No VOC samples were collected from Camp XXX during the timeframe of this assessment.</w:t>
      </w:r>
      <w:r w:rsidR="005E4DB2">
        <w:rPr>
          <w:rStyle w:val="cf01"/>
          <w:rFonts w:ascii="Arial" w:hAnsi="Arial" w:cs="Arial"/>
          <w:b/>
          <w:bCs/>
          <w:color w:val="0070C0"/>
          <w:sz w:val="24"/>
          <w:szCs w:val="24"/>
        </w:rPr>
        <w:t>”</w:t>
      </w:r>
      <w:r w:rsidR="005E4DB2" w:rsidRPr="005E4DB2">
        <w:rPr>
          <w:rStyle w:val="cf01"/>
          <w:rFonts w:ascii="Arial" w:hAnsi="Arial" w:cs="Arial"/>
          <w:b/>
          <w:bCs/>
          <w:color w:val="0070C0"/>
          <w:sz w:val="24"/>
          <w:szCs w:val="24"/>
        </w:rPr>
        <w:t>]</w:t>
      </w:r>
    </w:p>
    <w:p w14:paraId="036A2664" w14:textId="77777777" w:rsidR="004809BB" w:rsidRPr="00A74718" w:rsidRDefault="004809BB" w:rsidP="0051520C"/>
    <w:p w14:paraId="50A0E4CB" w14:textId="19CEFDB5" w:rsidR="001021AB" w:rsidRDefault="001021AB" w:rsidP="00FD4769">
      <w:pPr>
        <w:pStyle w:val="Heading3"/>
      </w:pPr>
      <w:r w:rsidRPr="006A52F8">
        <w:rPr>
          <w:highlight w:val="yellow"/>
        </w:rPr>
        <w:t>Exposure Guidelines</w:t>
      </w:r>
    </w:p>
    <w:p w14:paraId="620E849B" w14:textId="510DF7B3" w:rsidR="001021AB" w:rsidRDefault="001021AB" w:rsidP="0051520C"/>
    <w:p w14:paraId="5A1BE2AB" w14:textId="0DFC2DA8" w:rsidR="00A474E3" w:rsidRPr="00096775" w:rsidRDefault="00504A2A" w:rsidP="0051520C">
      <w:pPr>
        <w:rPr>
          <w:b/>
          <w:bCs/>
          <w:color w:val="0070C0"/>
        </w:rPr>
      </w:pPr>
      <w:r w:rsidRPr="00096775">
        <w:rPr>
          <w:b/>
          <w:bCs/>
          <w:color w:val="0070C0"/>
        </w:rPr>
        <w:t>[If a VOC exceeds the 1-year Negligible MEG and is carried through the short</w:t>
      </w:r>
      <w:r w:rsidR="00BC0307" w:rsidRPr="00096775">
        <w:rPr>
          <w:b/>
          <w:bCs/>
          <w:color w:val="0070C0"/>
        </w:rPr>
        <w:t>-</w:t>
      </w:r>
      <w:r w:rsidRPr="00096775">
        <w:rPr>
          <w:b/>
          <w:bCs/>
          <w:color w:val="0070C0"/>
        </w:rPr>
        <w:t xml:space="preserve"> and long-term risk assessment</w:t>
      </w:r>
      <w:r w:rsidR="00BC0307" w:rsidRPr="00096775">
        <w:rPr>
          <w:b/>
          <w:bCs/>
          <w:color w:val="0070C0"/>
        </w:rPr>
        <w:t>, provide MEGs for that VOC</w:t>
      </w:r>
      <w:r w:rsidR="00E15FDE">
        <w:rPr>
          <w:b/>
          <w:bCs/>
          <w:color w:val="0070C0"/>
        </w:rPr>
        <w:t>,</w:t>
      </w:r>
      <w:r w:rsidR="00BC0307" w:rsidRPr="00096775">
        <w:rPr>
          <w:b/>
          <w:bCs/>
          <w:color w:val="0070C0"/>
        </w:rPr>
        <w:t xml:space="preserve"> otherwise delete.]</w:t>
      </w:r>
    </w:p>
    <w:p w14:paraId="533CB2E0" w14:textId="77777777" w:rsidR="00A474E3" w:rsidRPr="00096775" w:rsidRDefault="00A474E3" w:rsidP="0051520C">
      <w:pPr>
        <w:rPr>
          <w:color w:val="0070C0"/>
        </w:rPr>
      </w:pPr>
    </w:p>
    <w:p w14:paraId="18346E84" w14:textId="35C69B6C" w:rsidR="001021AB" w:rsidRDefault="001021AB" w:rsidP="00FD4769">
      <w:pPr>
        <w:pStyle w:val="Heading3"/>
      </w:pPr>
      <w:r w:rsidRPr="00F83550">
        <w:t xml:space="preserve">Sample </w:t>
      </w:r>
      <w:r w:rsidR="000D09F5" w:rsidRPr="00F83550">
        <w:t>Data/Note</w:t>
      </w:r>
      <w:r w:rsidRPr="00F83550">
        <w:t>s:</w:t>
      </w:r>
    </w:p>
    <w:p w14:paraId="18AA9510" w14:textId="77777777" w:rsidR="001021AB" w:rsidRDefault="001021AB" w:rsidP="0051520C"/>
    <w:p w14:paraId="58D35D7B" w14:textId="58A01352" w:rsidR="005D2416" w:rsidRDefault="00011FB3" w:rsidP="0051520C">
      <w:r w:rsidRPr="00852EBA">
        <w:t xml:space="preserve">A total of </w:t>
      </w:r>
      <w:r w:rsidRPr="00852EBA">
        <w:rPr>
          <w:highlight w:val="yellow"/>
        </w:rPr>
        <w:t>XX</w:t>
      </w:r>
      <w:r w:rsidRPr="00852EBA">
        <w:t xml:space="preserve"> valid </w:t>
      </w:r>
      <w:r w:rsidR="00261869">
        <w:t>VOC</w:t>
      </w:r>
      <w:r w:rsidRPr="00852EBA">
        <w:t xml:space="preserve"> samples were collected at </w:t>
      </w:r>
      <w:r w:rsidRPr="00852EBA">
        <w:rPr>
          <w:highlight w:val="green"/>
        </w:rPr>
        <w:t>Camp XXX</w:t>
      </w:r>
      <w:r w:rsidRPr="00852EBA">
        <w:t xml:space="preserve"> from </w:t>
      </w:r>
      <w:r w:rsidRPr="00852EBA">
        <w:rPr>
          <w:highlight w:val="yellow"/>
        </w:rPr>
        <w:t>Year</w:t>
      </w:r>
      <w:r>
        <w:t xml:space="preserve"> </w:t>
      </w:r>
      <w:r w:rsidRPr="00852EBA">
        <w:t xml:space="preserve">to </w:t>
      </w:r>
      <w:r w:rsidRPr="00852EBA">
        <w:rPr>
          <w:highlight w:val="yellow"/>
        </w:rPr>
        <w:t>Year</w:t>
      </w:r>
      <w:r w:rsidR="00755548">
        <w:rPr>
          <w:highlight w:val="yellow"/>
        </w:rPr>
        <w:t xml:space="preserve"> </w:t>
      </w:r>
      <w:r w:rsidR="00755548" w:rsidRPr="00A74718">
        <w:t>to assess OEH health risk to deployed personnel.</w:t>
      </w:r>
    </w:p>
    <w:p w14:paraId="2FD587D1" w14:textId="3F2AF81C" w:rsidR="00A8231C" w:rsidRDefault="00A8231C" w:rsidP="0051520C"/>
    <w:p w14:paraId="72C0F4A8" w14:textId="5102C49D" w:rsidR="00A8231C" w:rsidRPr="00F83550" w:rsidRDefault="00A8231C" w:rsidP="00FD4769">
      <w:pPr>
        <w:pStyle w:val="Heading3"/>
      </w:pPr>
      <w:commentRangeStart w:id="37"/>
      <w:r w:rsidRPr="00F83550">
        <w:t>Short</w:t>
      </w:r>
      <w:commentRangeEnd w:id="37"/>
      <w:r w:rsidR="00796E51">
        <w:rPr>
          <w:rStyle w:val="CommentReference"/>
        </w:rPr>
        <w:commentReference w:id="37"/>
      </w:r>
      <w:r w:rsidRPr="00F83550">
        <w:t xml:space="preserve">-term </w:t>
      </w:r>
      <w:r w:rsidR="00E33B89">
        <w:t xml:space="preserve">and Long-term </w:t>
      </w:r>
      <w:r w:rsidR="000D09F5" w:rsidRPr="00F83550">
        <w:t>Health Risks</w:t>
      </w:r>
      <w:r w:rsidRPr="00F83550">
        <w:t>:</w:t>
      </w:r>
    </w:p>
    <w:p w14:paraId="6F76D55A" w14:textId="77777777" w:rsidR="00A8231C" w:rsidRPr="00F83550" w:rsidRDefault="00A8231C" w:rsidP="0051520C"/>
    <w:p w14:paraId="54D4AEA9" w14:textId="369BEC98" w:rsidR="00E33B89" w:rsidRDefault="001F2038" w:rsidP="0051520C">
      <w:r w:rsidRPr="007542C0">
        <w:rPr>
          <w:b/>
          <w:highlight w:val="yellow"/>
        </w:rPr>
        <w:t>None identified based on available sample data.</w:t>
      </w:r>
      <w:r w:rsidRPr="00A74718">
        <w:rPr>
          <w:b/>
        </w:rPr>
        <w:t xml:space="preserve"> </w:t>
      </w:r>
      <w:r w:rsidRPr="00D94062">
        <w:rPr>
          <w:highlight w:val="yellow"/>
        </w:rPr>
        <w:t xml:space="preserve">No </w:t>
      </w:r>
      <w:r w:rsidR="007542C0">
        <w:rPr>
          <w:highlight w:val="yellow"/>
        </w:rPr>
        <w:t>VOC concentrations</w:t>
      </w:r>
      <w:r w:rsidRPr="00D94062">
        <w:rPr>
          <w:highlight w:val="yellow"/>
        </w:rPr>
        <w:t xml:space="preserve"> exceeded </w:t>
      </w:r>
      <w:r w:rsidR="00DA4995" w:rsidRPr="00D94062">
        <w:rPr>
          <w:highlight w:val="yellow"/>
        </w:rPr>
        <w:t>the</w:t>
      </w:r>
      <w:r w:rsidR="00DA4995">
        <w:rPr>
          <w:highlight w:val="yellow"/>
        </w:rPr>
        <w:t>ir respective</w:t>
      </w:r>
      <w:r w:rsidRPr="00D94062">
        <w:rPr>
          <w:highlight w:val="yellow"/>
        </w:rPr>
        <w:t xml:space="preserve"> 1-year Negligible MEGs.</w:t>
      </w:r>
    </w:p>
    <w:p w14:paraId="1A76BFF1" w14:textId="5736F4CF" w:rsidR="00EC0B51" w:rsidRDefault="00EC0B51" w:rsidP="0051520C"/>
    <w:p w14:paraId="15F43AE4" w14:textId="3D004666" w:rsidR="00F65024" w:rsidRPr="008665E2" w:rsidRDefault="00F65024" w:rsidP="00580B36">
      <w:pPr>
        <w:pStyle w:val="Heading2"/>
      </w:pPr>
      <w:r w:rsidRPr="008665E2">
        <w:t>Ozone</w:t>
      </w:r>
    </w:p>
    <w:p w14:paraId="0420200A" w14:textId="77777777" w:rsidR="00EC0B51" w:rsidRPr="005E4DB2" w:rsidRDefault="00EC0B51" w:rsidP="0051520C"/>
    <w:p w14:paraId="6D146B2D" w14:textId="25B5D34A" w:rsidR="005E4DB2" w:rsidRPr="005E4DB2" w:rsidRDefault="005E4DB2" w:rsidP="0051520C">
      <w:pPr>
        <w:rPr>
          <w:b/>
          <w:bCs/>
          <w:color w:val="0070C0"/>
        </w:rPr>
      </w:pPr>
      <w:r w:rsidRPr="005E4DB2">
        <w:rPr>
          <w:b/>
          <w:bCs/>
          <w:color w:val="0070C0"/>
        </w:rPr>
        <w:t>[Include this section if have NASA data.]</w:t>
      </w:r>
    </w:p>
    <w:p w14:paraId="6C2FDFE7" w14:textId="77777777" w:rsidR="005E4DB2" w:rsidRPr="005E4DB2" w:rsidRDefault="005E4DB2" w:rsidP="0051520C">
      <w:pPr>
        <w:rPr>
          <w:color w:val="0070C0"/>
          <w:highlight w:val="yellow"/>
        </w:rPr>
      </w:pPr>
    </w:p>
    <w:p w14:paraId="6F783690" w14:textId="0C1AB63E" w:rsidR="00EC0B51" w:rsidRDefault="00EC0B51" w:rsidP="00FD4769">
      <w:pPr>
        <w:pStyle w:val="Heading3"/>
      </w:pPr>
      <w:r w:rsidRPr="006A52F8">
        <w:rPr>
          <w:highlight w:val="yellow"/>
        </w:rPr>
        <w:t xml:space="preserve"> Exposure Guidelines</w:t>
      </w:r>
    </w:p>
    <w:p w14:paraId="36A3D424" w14:textId="77777777" w:rsidR="00E37957" w:rsidRPr="00A474E3" w:rsidRDefault="00E37957" w:rsidP="00E37957">
      <w:pPr>
        <w:rPr>
          <w:b/>
          <w:bCs/>
        </w:rPr>
      </w:pPr>
    </w:p>
    <w:p w14:paraId="2A6F56F6" w14:textId="05AEF35D" w:rsidR="00E37957" w:rsidRPr="00096775" w:rsidRDefault="00A474E3" w:rsidP="00E37957">
      <w:pPr>
        <w:rPr>
          <w:b/>
          <w:bCs/>
          <w:color w:val="0070C0"/>
        </w:rPr>
      </w:pPr>
      <w:r w:rsidRPr="00096775">
        <w:rPr>
          <w:b/>
          <w:bCs/>
          <w:color w:val="0070C0"/>
        </w:rPr>
        <w:t>[Note that units are parts per billion (ppb).]</w:t>
      </w:r>
    </w:p>
    <w:tbl>
      <w:tblPr>
        <w:tblStyle w:val="TableGrid2"/>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30"/>
        <w:gridCol w:w="3321"/>
      </w:tblGrid>
      <w:tr w:rsidR="00772099" w:rsidRPr="00772099" w14:paraId="4BF83095" w14:textId="77777777" w:rsidTr="00A65564">
        <w:trPr>
          <w:cantSplit/>
        </w:trPr>
        <w:tc>
          <w:tcPr>
            <w:tcW w:w="3330" w:type="dxa"/>
          </w:tcPr>
          <w:p w14:paraId="06FCE4CB" w14:textId="77777777" w:rsidR="00772099" w:rsidRPr="00772099" w:rsidRDefault="00772099" w:rsidP="0051520C">
            <w:pPr>
              <w:rPr>
                <w:highlight w:val="yellow"/>
              </w:rPr>
            </w:pPr>
          </w:p>
          <w:p w14:paraId="2EE2050E" w14:textId="36E798A5" w:rsidR="00772099" w:rsidRPr="00772099" w:rsidRDefault="00772099" w:rsidP="0051520C">
            <w:pPr>
              <w:rPr>
                <w:highlight w:val="yellow"/>
              </w:rPr>
            </w:pPr>
            <w:r w:rsidRPr="00772099">
              <w:rPr>
                <w:highlight w:val="yellow"/>
              </w:rPr>
              <w:t>Short-term (1-hour) O</w:t>
            </w:r>
            <w:r w:rsidRPr="00424231">
              <w:rPr>
                <w:rStyle w:val="StyleSubscript"/>
                <w:highlight w:val="yellow"/>
              </w:rPr>
              <w:t xml:space="preserve">3 </w:t>
            </w:r>
            <w:r w:rsidRPr="00772099">
              <w:rPr>
                <w:highlight w:val="yellow"/>
              </w:rPr>
              <w:t>(ppb):</w:t>
            </w:r>
          </w:p>
        </w:tc>
        <w:tc>
          <w:tcPr>
            <w:tcW w:w="3330" w:type="dxa"/>
          </w:tcPr>
          <w:p w14:paraId="2FE8C49A" w14:textId="77777777" w:rsidR="00772099" w:rsidRPr="00772099" w:rsidRDefault="00772099" w:rsidP="0051520C">
            <w:pPr>
              <w:rPr>
                <w:highlight w:val="yellow"/>
              </w:rPr>
            </w:pPr>
          </w:p>
          <w:p w14:paraId="0FCB0B9C" w14:textId="37976FAA" w:rsidR="00772099" w:rsidRPr="00772099" w:rsidRDefault="00772099" w:rsidP="0051520C">
            <w:pPr>
              <w:rPr>
                <w:highlight w:val="yellow"/>
              </w:rPr>
            </w:pPr>
            <w:r w:rsidRPr="00772099">
              <w:rPr>
                <w:highlight w:val="yellow"/>
              </w:rPr>
              <w:t>Short-term (8-hour) O</w:t>
            </w:r>
            <w:r w:rsidRPr="00424231">
              <w:rPr>
                <w:rStyle w:val="StyleSubscript"/>
                <w:highlight w:val="yellow"/>
              </w:rPr>
              <w:t>3</w:t>
            </w:r>
            <w:r w:rsidRPr="00772099">
              <w:rPr>
                <w:highlight w:val="yellow"/>
              </w:rPr>
              <w:t xml:space="preserve"> (ppb)</w:t>
            </w:r>
            <w:r w:rsidR="00695988">
              <w:rPr>
                <w:highlight w:val="yellow"/>
              </w:rPr>
              <w:t>:</w:t>
            </w:r>
          </w:p>
        </w:tc>
        <w:tc>
          <w:tcPr>
            <w:tcW w:w="3321" w:type="dxa"/>
          </w:tcPr>
          <w:p w14:paraId="7B8913F8" w14:textId="77777777" w:rsidR="00772099" w:rsidRPr="00772099" w:rsidRDefault="00772099" w:rsidP="0051520C">
            <w:pPr>
              <w:rPr>
                <w:highlight w:val="yellow"/>
              </w:rPr>
            </w:pPr>
          </w:p>
          <w:p w14:paraId="54D0090E" w14:textId="77777777" w:rsidR="00772099" w:rsidRPr="00772099" w:rsidRDefault="00772099" w:rsidP="0051520C">
            <w:pPr>
              <w:rPr>
                <w:highlight w:val="yellow"/>
              </w:rPr>
            </w:pPr>
            <w:r w:rsidRPr="00772099">
              <w:rPr>
                <w:highlight w:val="yellow"/>
              </w:rPr>
              <w:t>Long-term(1-yr) O</w:t>
            </w:r>
            <w:r w:rsidRPr="00424231">
              <w:rPr>
                <w:rStyle w:val="StyleSubscript"/>
                <w:highlight w:val="yellow"/>
              </w:rPr>
              <w:t>3</w:t>
            </w:r>
            <w:r w:rsidRPr="00772099">
              <w:rPr>
                <w:highlight w:val="yellow"/>
              </w:rPr>
              <w:t xml:space="preserve"> (ppb):</w:t>
            </w:r>
          </w:p>
        </w:tc>
      </w:tr>
      <w:tr w:rsidR="00772099" w:rsidRPr="00772099" w14:paraId="5E0EB475" w14:textId="77777777" w:rsidTr="00A65564">
        <w:trPr>
          <w:cantSplit/>
          <w:trHeight w:val="392"/>
        </w:trPr>
        <w:tc>
          <w:tcPr>
            <w:tcW w:w="3330" w:type="dxa"/>
          </w:tcPr>
          <w:p w14:paraId="0B6C9D72" w14:textId="77777777" w:rsidR="00772099" w:rsidRPr="0051520C" w:rsidRDefault="00772099" w:rsidP="00F704C7">
            <w:pPr>
              <w:pStyle w:val="ListParagraph"/>
              <w:numPr>
                <w:ilvl w:val="0"/>
                <w:numId w:val="1"/>
              </w:numPr>
              <w:rPr>
                <w:highlight w:val="yellow"/>
              </w:rPr>
            </w:pPr>
            <w:r w:rsidRPr="0051520C">
              <w:rPr>
                <w:highlight w:val="yellow"/>
              </w:rPr>
              <w:t>Negligible MEG = 204</w:t>
            </w:r>
          </w:p>
          <w:p w14:paraId="60E0E5AB" w14:textId="77777777" w:rsidR="00772099" w:rsidRPr="0051520C" w:rsidRDefault="00772099" w:rsidP="00F704C7">
            <w:pPr>
              <w:pStyle w:val="ListParagraph"/>
              <w:numPr>
                <w:ilvl w:val="0"/>
                <w:numId w:val="1"/>
              </w:numPr>
              <w:rPr>
                <w:highlight w:val="yellow"/>
              </w:rPr>
            </w:pPr>
            <w:r w:rsidRPr="0051520C">
              <w:rPr>
                <w:highlight w:val="yellow"/>
              </w:rPr>
              <w:t>Marginal MEG =1,020</w:t>
            </w:r>
          </w:p>
          <w:p w14:paraId="2ED7C75C" w14:textId="77777777" w:rsidR="00772099" w:rsidRPr="0051520C" w:rsidRDefault="00772099" w:rsidP="00F704C7">
            <w:pPr>
              <w:pStyle w:val="ListParagraph"/>
              <w:numPr>
                <w:ilvl w:val="0"/>
                <w:numId w:val="1"/>
              </w:numPr>
              <w:rPr>
                <w:highlight w:val="yellow"/>
              </w:rPr>
            </w:pPr>
            <w:r w:rsidRPr="0051520C">
              <w:rPr>
                <w:highlight w:val="yellow"/>
              </w:rPr>
              <w:t>Critical MEG =5,102</w:t>
            </w:r>
          </w:p>
        </w:tc>
        <w:tc>
          <w:tcPr>
            <w:tcW w:w="3330" w:type="dxa"/>
          </w:tcPr>
          <w:p w14:paraId="2707E007" w14:textId="77777777" w:rsidR="00772099" w:rsidRPr="0051520C" w:rsidRDefault="00772099" w:rsidP="00F704C7">
            <w:pPr>
              <w:pStyle w:val="ListParagraph"/>
              <w:numPr>
                <w:ilvl w:val="0"/>
                <w:numId w:val="2"/>
              </w:numPr>
              <w:rPr>
                <w:highlight w:val="yellow"/>
              </w:rPr>
            </w:pPr>
            <w:r w:rsidRPr="0051520C">
              <w:rPr>
                <w:highlight w:val="yellow"/>
              </w:rPr>
              <w:t>Negligible MEG = 199</w:t>
            </w:r>
          </w:p>
        </w:tc>
        <w:tc>
          <w:tcPr>
            <w:tcW w:w="3321" w:type="dxa"/>
          </w:tcPr>
          <w:p w14:paraId="742A2A95" w14:textId="77777777" w:rsidR="00772099" w:rsidRPr="0051520C" w:rsidRDefault="00772099" w:rsidP="00F704C7">
            <w:pPr>
              <w:pStyle w:val="ListParagraph"/>
              <w:numPr>
                <w:ilvl w:val="0"/>
                <w:numId w:val="2"/>
              </w:numPr>
              <w:rPr>
                <w:highlight w:val="yellow"/>
              </w:rPr>
            </w:pPr>
            <w:r w:rsidRPr="0051520C">
              <w:rPr>
                <w:highlight w:val="yellow"/>
              </w:rPr>
              <w:t>Negligible MEG = 20</w:t>
            </w:r>
          </w:p>
          <w:p w14:paraId="10B07F42" w14:textId="77777777" w:rsidR="00772099" w:rsidRPr="00772099" w:rsidRDefault="00772099" w:rsidP="0051520C">
            <w:pPr>
              <w:rPr>
                <w:highlight w:val="yellow"/>
              </w:rPr>
            </w:pPr>
          </w:p>
        </w:tc>
      </w:tr>
    </w:tbl>
    <w:p w14:paraId="77B69570" w14:textId="5B8D2CD0" w:rsidR="00EC0B51" w:rsidRDefault="00EC0B51" w:rsidP="0051520C"/>
    <w:p w14:paraId="51FD1F72" w14:textId="7FB6771E" w:rsidR="00772099" w:rsidRDefault="00772099" w:rsidP="00FD4769">
      <w:pPr>
        <w:pStyle w:val="Heading3"/>
      </w:pPr>
      <w:r w:rsidRPr="00F83550">
        <w:lastRenderedPageBreak/>
        <w:t xml:space="preserve">Sample </w:t>
      </w:r>
      <w:r w:rsidR="000D09F5" w:rsidRPr="00F83550">
        <w:t>Data/Notes</w:t>
      </w:r>
      <w:r w:rsidRPr="00F83550">
        <w:t>:</w:t>
      </w:r>
    </w:p>
    <w:p w14:paraId="61C1DA97" w14:textId="1642E593" w:rsidR="00772099" w:rsidRDefault="00772099" w:rsidP="0051520C"/>
    <w:p w14:paraId="7CE3B780" w14:textId="59E9923A" w:rsidR="001C1E65" w:rsidRPr="00911BB5" w:rsidRDefault="007A099D" w:rsidP="0051520C">
      <w:r>
        <w:t>Hourly</w:t>
      </w:r>
      <w:r w:rsidR="00772099">
        <w:t xml:space="preserve"> O</w:t>
      </w:r>
      <w:r w:rsidR="00772099" w:rsidRPr="33C63274">
        <w:rPr>
          <w:rStyle w:val="StyleSubscript"/>
        </w:rPr>
        <w:t>3</w:t>
      </w:r>
      <w:r w:rsidR="00772099">
        <w:t xml:space="preserve"> </w:t>
      </w:r>
      <w:r>
        <w:t xml:space="preserve">data was available from the GEOS-CF model for </w:t>
      </w:r>
      <w:r w:rsidRPr="33C63274">
        <w:rPr>
          <w:highlight w:val="green"/>
        </w:rPr>
        <w:t xml:space="preserve">Camp XXX </w:t>
      </w:r>
      <w:r>
        <w:t xml:space="preserve">from </w:t>
      </w:r>
      <w:r w:rsidRPr="33C63274">
        <w:rPr>
          <w:highlight w:val="yellow"/>
        </w:rPr>
        <w:t xml:space="preserve">Year to Year </w:t>
      </w:r>
      <w:r>
        <w:t xml:space="preserve">to assess OEH health risk to deployed personnel. </w:t>
      </w:r>
      <w:r w:rsidR="00911BB5">
        <w:t xml:space="preserve">These data were </w:t>
      </w:r>
      <w:r w:rsidR="001C1E65">
        <w:t xml:space="preserve">evaluated as the rolling average for each </w:t>
      </w:r>
      <w:r w:rsidR="00911BB5">
        <w:t>8-hour</w:t>
      </w:r>
      <w:r w:rsidR="001C1E65">
        <w:t xml:space="preserve"> period across the year compared to t</w:t>
      </w:r>
      <w:r w:rsidR="00911BB5">
        <w:t xml:space="preserve">he 8-hour </w:t>
      </w:r>
      <w:r w:rsidR="001C1E65">
        <w:t>(</w:t>
      </w:r>
      <w:r w:rsidR="00911BB5">
        <w:t>short-term</w:t>
      </w:r>
      <w:r w:rsidR="001C1E65">
        <w:t xml:space="preserve"> screening)</w:t>
      </w:r>
      <w:r w:rsidR="00911BB5">
        <w:t xml:space="preserve"> O</w:t>
      </w:r>
      <w:r w:rsidR="00911BB5" w:rsidRPr="33C63274">
        <w:rPr>
          <w:rStyle w:val="StyleSubscript"/>
        </w:rPr>
        <w:t>3</w:t>
      </w:r>
      <w:r w:rsidR="00911BB5">
        <w:t xml:space="preserve"> MEG. </w:t>
      </w:r>
      <w:r w:rsidR="00421C9E">
        <w:t xml:space="preserve">The range of 8-hour concentrations was </w:t>
      </w:r>
      <w:r w:rsidR="00421C9E" w:rsidRPr="33C63274">
        <w:rPr>
          <w:highlight w:val="yellow"/>
        </w:rPr>
        <w:t xml:space="preserve">XX ppb – XX ppb </w:t>
      </w:r>
      <w:r w:rsidR="00421C9E">
        <w:t xml:space="preserve">with an </w:t>
      </w:r>
      <w:r w:rsidR="151AC944">
        <w:t xml:space="preserve">annual </w:t>
      </w:r>
      <w:r w:rsidR="00421C9E">
        <w:t>average concentration of</w:t>
      </w:r>
      <w:r w:rsidR="00421C9E" w:rsidRPr="33C63274">
        <w:rPr>
          <w:highlight w:val="yellow"/>
        </w:rPr>
        <w:t xml:space="preserve"> XX ppb.</w:t>
      </w:r>
      <w:r>
        <w:t xml:space="preserve"> </w:t>
      </w:r>
      <w:r w:rsidR="001C1E65">
        <w:t xml:space="preserve">The maximum 1-hour concentration was </w:t>
      </w:r>
      <w:r w:rsidR="00E10223" w:rsidRPr="33C63274">
        <w:rPr>
          <w:highlight w:val="yellow"/>
        </w:rPr>
        <w:t>XX</w:t>
      </w:r>
      <w:r w:rsidR="001C1E65" w:rsidRPr="33C63274">
        <w:rPr>
          <w:highlight w:val="yellow"/>
        </w:rPr>
        <w:t xml:space="preserve"> ppb in Year and </w:t>
      </w:r>
      <w:r w:rsidR="00E10223" w:rsidRPr="33C63274">
        <w:rPr>
          <w:highlight w:val="yellow"/>
        </w:rPr>
        <w:t>XX</w:t>
      </w:r>
      <w:r w:rsidR="001C1E65" w:rsidRPr="33C63274">
        <w:rPr>
          <w:highlight w:val="yellow"/>
        </w:rPr>
        <w:t xml:space="preserve"> ppb in Year</w:t>
      </w:r>
      <w:r w:rsidR="001C1E65">
        <w:t>.</w:t>
      </w:r>
      <w:r w:rsidR="001C1E65" w:rsidRPr="00096775">
        <w:rPr>
          <w:color w:val="0070C0"/>
        </w:rPr>
        <w:t xml:space="preserve"> </w:t>
      </w:r>
      <w:r w:rsidR="00BC0307" w:rsidRPr="00096775">
        <w:rPr>
          <w:color w:val="0070C0"/>
        </w:rPr>
        <w:t>[Use integers for all concentrations.]</w:t>
      </w:r>
      <w:r w:rsidR="00BC0307">
        <w:rPr>
          <w:color w:val="FF0000"/>
        </w:rPr>
        <w:t xml:space="preserve"> </w:t>
      </w:r>
    </w:p>
    <w:p w14:paraId="3F698085" w14:textId="407C41C3" w:rsidR="00E07935" w:rsidRDefault="00E07935" w:rsidP="0051520C"/>
    <w:p w14:paraId="79F3B7C5" w14:textId="3E2CCCFA" w:rsidR="00E07935" w:rsidRDefault="00E07935" w:rsidP="00FD4769">
      <w:pPr>
        <w:pStyle w:val="Heading3"/>
      </w:pPr>
      <w:r>
        <w:t xml:space="preserve">Short-term </w:t>
      </w:r>
      <w:r w:rsidR="000D09F5">
        <w:t>Health Risks</w:t>
      </w:r>
      <w:r>
        <w:t>:</w:t>
      </w:r>
      <w:r w:rsidR="004A373A">
        <w:t xml:space="preserve"> </w:t>
      </w:r>
    </w:p>
    <w:p w14:paraId="447D6AA4" w14:textId="6E6A8B72" w:rsidR="00E07935" w:rsidRDefault="00E07935" w:rsidP="0051520C"/>
    <w:p w14:paraId="59EF99A4" w14:textId="0E298EFF" w:rsidR="005E4DB2" w:rsidRPr="005E4DB2" w:rsidRDefault="005E4DB2" w:rsidP="0051520C">
      <w:pPr>
        <w:rPr>
          <w:b/>
          <w:bCs/>
          <w:color w:val="0070C0"/>
        </w:rPr>
      </w:pPr>
      <w:r w:rsidRPr="005E4DB2">
        <w:rPr>
          <w:b/>
          <w:bCs/>
          <w:color w:val="0070C0"/>
        </w:rPr>
        <w:t>[Compare ozone data to short-term MEGs and include confidence levels if applicable.]</w:t>
      </w:r>
    </w:p>
    <w:p w14:paraId="2D3CBCF3" w14:textId="77777777" w:rsidR="005E4DB2" w:rsidRDefault="005E4DB2" w:rsidP="0051520C"/>
    <w:p w14:paraId="087478BF" w14:textId="539CC39D" w:rsidR="00E07935" w:rsidRDefault="00E07935" w:rsidP="00FD4769">
      <w:pPr>
        <w:pStyle w:val="Heading3"/>
      </w:pPr>
      <w:r>
        <w:t xml:space="preserve">Long-term </w:t>
      </w:r>
      <w:r w:rsidR="000D09F5">
        <w:t>Health Risks</w:t>
      </w:r>
      <w:r>
        <w:t xml:space="preserve">: </w:t>
      </w:r>
    </w:p>
    <w:p w14:paraId="7C19F72E" w14:textId="2E7F8523" w:rsidR="00E07935" w:rsidRDefault="00E07935" w:rsidP="0051520C"/>
    <w:p w14:paraId="4A1EA611" w14:textId="17B5DA85" w:rsidR="005E4DB2" w:rsidRPr="005E4DB2" w:rsidRDefault="005E4DB2" w:rsidP="0051520C">
      <w:pPr>
        <w:rPr>
          <w:b/>
          <w:bCs/>
        </w:rPr>
      </w:pPr>
      <w:r w:rsidRPr="005E4DB2">
        <w:rPr>
          <w:b/>
          <w:bCs/>
          <w:color w:val="0070C0"/>
        </w:rPr>
        <w:t xml:space="preserve">[Compare ozone data to </w:t>
      </w:r>
      <w:r>
        <w:rPr>
          <w:b/>
          <w:bCs/>
          <w:color w:val="0070C0"/>
        </w:rPr>
        <w:t>1-year Negligible</w:t>
      </w:r>
      <w:r w:rsidRPr="005E4DB2">
        <w:rPr>
          <w:b/>
          <w:bCs/>
          <w:color w:val="0070C0"/>
        </w:rPr>
        <w:t xml:space="preserve"> MEG and include confidence levels if applicable.]</w:t>
      </w:r>
    </w:p>
    <w:p w14:paraId="68982A65" w14:textId="77777777" w:rsidR="005E4DB2" w:rsidRDefault="005E4DB2" w:rsidP="0051520C"/>
    <w:p w14:paraId="338B4C90" w14:textId="319154AA" w:rsidR="002240F8" w:rsidRPr="008665E2" w:rsidRDefault="002240F8" w:rsidP="00580B36">
      <w:pPr>
        <w:pStyle w:val="Heading2"/>
      </w:pPr>
      <w:r w:rsidRPr="008665E2">
        <w:t>Nitrogen Dioxide</w:t>
      </w:r>
    </w:p>
    <w:p w14:paraId="712D4F1A" w14:textId="77777777" w:rsidR="00236A6F" w:rsidRDefault="00236A6F" w:rsidP="0051520C">
      <w:pPr>
        <w:rPr>
          <w:highlight w:val="yellow"/>
        </w:rPr>
      </w:pPr>
    </w:p>
    <w:p w14:paraId="5FEDE051" w14:textId="77777777" w:rsidR="005E4DB2" w:rsidRPr="005E4DB2" w:rsidRDefault="005E4DB2" w:rsidP="005E4DB2">
      <w:pPr>
        <w:rPr>
          <w:b/>
          <w:bCs/>
          <w:color w:val="0070C0"/>
        </w:rPr>
      </w:pPr>
      <w:r w:rsidRPr="005E4DB2">
        <w:rPr>
          <w:b/>
          <w:bCs/>
          <w:color w:val="0070C0"/>
        </w:rPr>
        <w:t>[Include this section if have NASA data.]</w:t>
      </w:r>
    </w:p>
    <w:p w14:paraId="18787359" w14:textId="77777777" w:rsidR="005E4DB2" w:rsidRDefault="005E4DB2" w:rsidP="0051520C">
      <w:pPr>
        <w:rPr>
          <w:highlight w:val="yellow"/>
        </w:rPr>
      </w:pPr>
    </w:p>
    <w:p w14:paraId="7240858A" w14:textId="57E5B2E2" w:rsidR="00236A6F" w:rsidRDefault="00236A6F" w:rsidP="00FD4769">
      <w:pPr>
        <w:pStyle w:val="Heading3"/>
      </w:pPr>
      <w:commentRangeStart w:id="38"/>
      <w:r w:rsidRPr="006A52F8">
        <w:rPr>
          <w:highlight w:val="yellow"/>
        </w:rPr>
        <w:t>Exposure</w:t>
      </w:r>
      <w:commentRangeEnd w:id="38"/>
      <w:r>
        <w:rPr>
          <w:rStyle w:val="CommentReference"/>
        </w:rPr>
        <w:commentReference w:id="38"/>
      </w:r>
      <w:r w:rsidRPr="006A52F8">
        <w:rPr>
          <w:highlight w:val="yellow"/>
        </w:rPr>
        <w:t xml:space="preserve"> </w:t>
      </w:r>
      <w:r w:rsidR="000D09F5" w:rsidRPr="006A52F8">
        <w:rPr>
          <w:highlight w:val="yellow"/>
        </w:rPr>
        <w:t>Guidelines</w:t>
      </w:r>
    </w:p>
    <w:tbl>
      <w:tblPr>
        <w:tblStyle w:val="TableGrid2"/>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330"/>
        <w:gridCol w:w="3501"/>
      </w:tblGrid>
      <w:tr w:rsidR="00236A6F" w:rsidRPr="00772099" w14:paraId="1F9C8854" w14:textId="77777777" w:rsidTr="00236A6F">
        <w:tc>
          <w:tcPr>
            <w:tcW w:w="3150" w:type="dxa"/>
          </w:tcPr>
          <w:p w14:paraId="304FF67F" w14:textId="77777777" w:rsidR="00236A6F" w:rsidRPr="00772099" w:rsidRDefault="00236A6F" w:rsidP="0051520C">
            <w:pPr>
              <w:rPr>
                <w:highlight w:val="yellow"/>
              </w:rPr>
            </w:pPr>
          </w:p>
          <w:p w14:paraId="06B02741" w14:textId="11F479BC" w:rsidR="00236A6F" w:rsidRPr="00772099" w:rsidRDefault="00236A6F" w:rsidP="0051520C">
            <w:pPr>
              <w:rPr>
                <w:highlight w:val="yellow"/>
              </w:rPr>
            </w:pPr>
            <w:r w:rsidRPr="00772099">
              <w:rPr>
                <w:highlight w:val="yellow"/>
              </w:rPr>
              <w:t xml:space="preserve">Short-term (1-hour) </w:t>
            </w:r>
            <w:r>
              <w:rPr>
                <w:highlight w:val="yellow"/>
              </w:rPr>
              <w:t>N</w:t>
            </w:r>
            <w:r w:rsidRPr="00772099">
              <w:rPr>
                <w:highlight w:val="yellow"/>
              </w:rPr>
              <w:t>O</w:t>
            </w:r>
            <w:r w:rsidRPr="00424231">
              <w:rPr>
                <w:rStyle w:val="StyleSubscript"/>
                <w:highlight w:val="yellow"/>
              </w:rPr>
              <w:t xml:space="preserve">2 </w:t>
            </w:r>
            <w:r w:rsidRPr="00772099">
              <w:rPr>
                <w:highlight w:val="yellow"/>
              </w:rPr>
              <w:t>(ppb)</w:t>
            </w:r>
            <w:r w:rsidRPr="00424231">
              <w:rPr>
                <w:rStyle w:val="StyleSubscript"/>
                <w:highlight w:val="yellow"/>
              </w:rPr>
              <w:t xml:space="preserve"> </w:t>
            </w:r>
          </w:p>
        </w:tc>
        <w:tc>
          <w:tcPr>
            <w:tcW w:w="3330" w:type="dxa"/>
          </w:tcPr>
          <w:p w14:paraId="2EDE962C" w14:textId="77777777" w:rsidR="00236A6F" w:rsidRPr="00772099" w:rsidRDefault="00236A6F" w:rsidP="0051520C">
            <w:pPr>
              <w:rPr>
                <w:highlight w:val="yellow"/>
              </w:rPr>
            </w:pPr>
          </w:p>
          <w:p w14:paraId="2C33DA3F" w14:textId="0ABC3665" w:rsidR="00236A6F" w:rsidRPr="00772099" w:rsidRDefault="00236A6F" w:rsidP="0051520C">
            <w:pPr>
              <w:rPr>
                <w:highlight w:val="yellow"/>
              </w:rPr>
            </w:pPr>
            <w:r w:rsidRPr="00772099">
              <w:rPr>
                <w:highlight w:val="yellow"/>
              </w:rPr>
              <w:t xml:space="preserve">Short-term (8-hour) </w:t>
            </w:r>
            <w:r>
              <w:rPr>
                <w:highlight w:val="yellow"/>
              </w:rPr>
              <w:t>N</w:t>
            </w:r>
            <w:r w:rsidRPr="00772099">
              <w:rPr>
                <w:highlight w:val="yellow"/>
              </w:rPr>
              <w:t>O</w:t>
            </w:r>
            <w:r w:rsidRPr="00424231">
              <w:rPr>
                <w:rStyle w:val="StyleSubscript"/>
                <w:highlight w:val="yellow"/>
              </w:rPr>
              <w:t>2:</w:t>
            </w:r>
            <w:r w:rsidRPr="00772099">
              <w:rPr>
                <w:highlight w:val="yellow"/>
              </w:rPr>
              <w:t xml:space="preserve"> (ppb)</w:t>
            </w:r>
          </w:p>
        </w:tc>
        <w:tc>
          <w:tcPr>
            <w:tcW w:w="3501" w:type="dxa"/>
          </w:tcPr>
          <w:p w14:paraId="5C486892" w14:textId="77777777" w:rsidR="00236A6F" w:rsidRPr="00772099" w:rsidRDefault="00236A6F" w:rsidP="0051520C">
            <w:pPr>
              <w:rPr>
                <w:highlight w:val="yellow"/>
              </w:rPr>
            </w:pPr>
          </w:p>
          <w:p w14:paraId="60E08007" w14:textId="338EEFB6" w:rsidR="00236A6F" w:rsidRPr="00772099" w:rsidRDefault="00236A6F" w:rsidP="0051520C">
            <w:pPr>
              <w:rPr>
                <w:highlight w:val="yellow"/>
              </w:rPr>
            </w:pPr>
            <w:r w:rsidRPr="00772099">
              <w:rPr>
                <w:highlight w:val="yellow"/>
              </w:rPr>
              <w:t xml:space="preserve">Long-term(1-yr) </w:t>
            </w:r>
            <w:r>
              <w:rPr>
                <w:highlight w:val="yellow"/>
              </w:rPr>
              <w:t>N</w:t>
            </w:r>
            <w:r w:rsidRPr="00772099">
              <w:rPr>
                <w:highlight w:val="yellow"/>
              </w:rPr>
              <w:t>O</w:t>
            </w:r>
            <w:r w:rsidRPr="00424231">
              <w:rPr>
                <w:rStyle w:val="StyleSubscript"/>
                <w:highlight w:val="yellow"/>
              </w:rPr>
              <w:t>2</w:t>
            </w:r>
            <w:r w:rsidRPr="00772099">
              <w:rPr>
                <w:highlight w:val="yellow"/>
              </w:rPr>
              <w:t xml:space="preserve"> (ppb):</w:t>
            </w:r>
          </w:p>
        </w:tc>
      </w:tr>
      <w:tr w:rsidR="00236A6F" w:rsidRPr="00772099" w14:paraId="6B19CF9C" w14:textId="77777777" w:rsidTr="00236A6F">
        <w:trPr>
          <w:trHeight w:val="392"/>
        </w:trPr>
        <w:tc>
          <w:tcPr>
            <w:tcW w:w="3150" w:type="dxa"/>
          </w:tcPr>
          <w:p w14:paraId="5326B4B0" w14:textId="759BFE99" w:rsidR="00236A6F" w:rsidRPr="0051520C" w:rsidRDefault="00236A6F" w:rsidP="00F704C7">
            <w:pPr>
              <w:pStyle w:val="ListParagraph"/>
              <w:numPr>
                <w:ilvl w:val="0"/>
                <w:numId w:val="1"/>
              </w:numPr>
              <w:rPr>
                <w:highlight w:val="yellow"/>
              </w:rPr>
            </w:pPr>
            <w:r w:rsidRPr="0051520C">
              <w:rPr>
                <w:highlight w:val="yellow"/>
              </w:rPr>
              <w:t>Negligible MEG = 500</w:t>
            </w:r>
          </w:p>
          <w:p w14:paraId="0EEEAA4B" w14:textId="1BF7BF9E" w:rsidR="00236A6F" w:rsidRPr="0051520C" w:rsidRDefault="00236A6F" w:rsidP="00F704C7">
            <w:pPr>
              <w:pStyle w:val="ListParagraph"/>
              <w:numPr>
                <w:ilvl w:val="0"/>
                <w:numId w:val="1"/>
              </w:numPr>
              <w:rPr>
                <w:highlight w:val="yellow"/>
              </w:rPr>
            </w:pPr>
            <w:r w:rsidRPr="0051520C">
              <w:rPr>
                <w:highlight w:val="yellow"/>
              </w:rPr>
              <w:t>Marginal MEG =12,234</w:t>
            </w:r>
          </w:p>
          <w:p w14:paraId="7507B75D" w14:textId="7E5FC779" w:rsidR="00236A6F" w:rsidRPr="0051520C" w:rsidRDefault="00236A6F" w:rsidP="00F704C7">
            <w:pPr>
              <w:pStyle w:val="ListParagraph"/>
              <w:numPr>
                <w:ilvl w:val="0"/>
                <w:numId w:val="1"/>
              </w:numPr>
              <w:rPr>
                <w:highlight w:val="yellow"/>
              </w:rPr>
            </w:pPr>
            <w:r w:rsidRPr="0051520C">
              <w:rPr>
                <w:highlight w:val="yellow"/>
              </w:rPr>
              <w:t>Critical MEG =20,213</w:t>
            </w:r>
          </w:p>
        </w:tc>
        <w:tc>
          <w:tcPr>
            <w:tcW w:w="3330" w:type="dxa"/>
          </w:tcPr>
          <w:p w14:paraId="7C9CE841" w14:textId="77777777" w:rsidR="00236A6F" w:rsidRPr="0051520C" w:rsidRDefault="00236A6F" w:rsidP="00F704C7">
            <w:pPr>
              <w:pStyle w:val="ListParagraph"/>
              <w:numPr>
                <w:ilvl w:val="0"/>
                <w:numId w:val="2"/>
              </w:numPr>
              <w:rPr>
                <w:highlight w:val="yellow"/>
              </w:rPr>
            </w:pPr>
            <w:r w:rsidRPr="0051520C">
              <w:rPr>
                <w:highlight w:val="yellow"/>
              </w:rPr>
              <w:t>Negligible MEG = 500</w:t>
            </w:r>
          </w:p>
          <w:p w14:paraId="2A86FE2D" w14:textId="77777777" w:rsidR="00236A6F" w:rsidRPr="0051520C" w:rsidRDefault="00236A6F" w:rsidP="00F704C7">
            <w:pPr>
              <w:pStyle w:val="ListParagraph"/>
              <w:numPr>
                <w:ilvl w:val="0"/>
                <w:numId w:val="2"/>
              </w:numPr>
              <w:rPr>
                <w:highlight w:val="yellow"/>
              </w:rPr>
            </w:pPr>
            <w:r w:rsidRPr="0051520C">
              <w:rPr>
                <w:highlight w:val="yellow"/>
              </w:rPr>
              <w:t>Marginal MEG = 7,222</w:t>
            </w:r>
          </w:p>
          <w:p w14:paraId="17D1C1DE" w14:textId="77777777" w:rsidR="00236A6F" w:rsidRDefault="00236A6F" w:rsidP="00F704C7">
            <w:pPr>
              <w:pStyle w:val="ListParagraph"/>
              <w:numPr>
                <w:ilvl w:val="0"/>
                <w:numId w:val="2"/>
              </w:numPr>
              <w:rPr>
                <w:highlight w:val="yellow"/>
              </w:rPr>
            </w:pPr>
            <w:r w:rsidRPr="0051520C">
              <w:rPr>
                <w:highlight w:val="yellow"/>
              </w:rPr>
              <w:t>Critical MEG = 11,170</w:t>
            </w:r>
          </w:p>
          <w:p w14:paraId="536CA44A" w14:textId="77777777" w:rsidR="00B01ADB" w:rsidRPr="0051520C" w:rsidRDefault="00B01ADB" w:rsidP="00B01ADB">
            <w:pPr>
              <w:pStyle w:val="ListParagraph"/>
              <w:ind w:left="360"/>
              <w:rPr>
                <w:highlight w:val="yellow"/>
              </w:rPr>
            </w:pPr>
          </w:p>
          <w:p w14:paraId="44126CDC" w14:textId="0E80C1F1" w:rsidR="00236A6F" w:rsidRPr="00772099" w:rsidRDefault="00236A6F" w:rsidP="0069098D">
            <w:pPr>
              <w:jc w:val="both"/>
              <w:rPr>
                <w:highlight w:val="yellow"/>
              </w:rPr>
            </w:pPr>
          </w:p>
        </w:tc>
        <w:tc>
          <w:tcPr>
            <w:tcW w:w="3501" w:type="dxa"/>
          </w:tcPr>
          <w:p w14:paraId="11E71A5A" w14:textId="3F1CA18C" w:rsidR="00236A6F" w:rsidRPr="0051520C" w:rsidRDefault="00236A6F" w:rsidP="00F704C7">
            <w:pPr>
              <w:pStyle w:val="ListParagraph"/>
              <w:numPr>
                <w:ilvl w:val="0"/>
                <w:numId w:val="2"/>
              </w:numPr>
              <w:rPr>
                <w:highlight w:val="yellow"/>
              </w:rPr>
            </w:pPr>
            <w:r w:rsidRPr="0051520C">
              <w:rPr>
                <w:highlight w:val="yellow"/>
              </w:rPr>
              <w:t>Negligible MEG = 500</w:t>
            </w:r>
          </w:p>
          <w:p w14:paraId="7488D228" w14:textId="77777777" w:rsidR="00236A6F" w:rsidRDefault="00236A6F" w:rsidP="0051520C">
            <w:pPr>
              <w:rPr>
                <w:highlight w:val="yellow"/>
              </w:rPr>
            </w:pPr>
          </w:p>
          <w:p w14:paraId="69EAADC8" w14:textId="77777777" w:rsidR="00B01ADB" w:rsidRPr="00772099" w:rsidRDefault="00B01ADB" w:rsidP="0051520C">
            <w:pPr>
              <w:rPr>
                <w:highlight w:val="yellow"/>
              </w:rPr>
            </w:pPr>
          </w:p>
        </w:tc>
      </w:tr>
    </w:tbl>
    <w:p w14:paraId="6FED55E3" w14:textId="755681B5" w:rsidR="00236A6F" w:rsidRDefault="00236A6F" w:rsidP="00FD4769">
      <w:pPr>
        <w:pStyle w:val="Heading3"/>
      </w:pPr>
      <w:r w:rsidRPr="00F83550">
        <w:t xml:space="preserve">Sample </w:t>
      </w:r>
      <w:r w:rsidR="000D09F5" w:rsidRPr="00F83550">
        <w:t>Data/Notes</w:t>
      </w:r>
      <w:r w:rsidRPr="00F83550">
        <w:t>:</w:t>
      </w:r>
    </w:p>
    <w:p w14:paraId="7F04CECF" w14:textId="77777777" w:rsidR="00236A6F" w:rsidRDefault="00236A6F" w:rsidP="0051520C"/>
    <w:p w14:paraId="767EEA62" w14:textId="6F120ADE" w:rsidR="00236A6F" w:rsidRPr="00F12F9B" w:rsidRDefault="00911BB5" w:rsidP="0051520C">
      <w:pPr>
        <w:rPr>
          <w:color w:val="0070C0"/>
        </w:rPr>
      </w:pPr>
      <w:r>
        <w:t xml:space="preserve">Hourly </w:t>
      </w:r>
      <w:r w:rsidR="00236A6F" w:rsidRPr="33C63274">
        <w:rPr>
          <w:highlight w:val="yellow"/>
        </w:rPr>
        <w:t>NO</w:t>
      </w:r>
      <w:r w:rsidR="00236A6F" w:rsidRPr="33C63274">
        <w:rPr>
          <w:rStyle w:val="StyleSubscript"/>
        </w:rPr>
        <w:t>2</w:t>
      </w:r>
      <w:r w:rsidR="00236A6F">
        <w:t xml:space="preserve"> </w:t>
      </w:r>
      <w:r>
        <w:t xml:space="preserve">data was available from the GEOS-CF model for </w:t>
      </w:r>
      <w:r w:rsidRPr="33C63274">
        <w:rPr>
          <w:highlight w:val="green"/>
        </w:rPr>
        <w:t>Camp XXX</w:t>
      </w:r>
      <w:r>
        <w:t xml:space="preserve"> from </w:t>
      </w:r>
      <w:r w:rsidRPr="33C63274">
        <w:rPr>
          <w:highlight w:val="yellow"/>
        </w:rPr>
        <w:t>Year</w:t>
      </w:r>
      <w:r>
        <w:t xml:space="preserve"> to </w:t>
      </w:r>
      <w:r w:rsidRPr="33C63274">
        <w:rPr>
          <w:highlight w:val="yellow"/>
        </w:rPr>
        <w:t>Year</w:t>
      </w:r>
      <w:r>
        <w:t xml:space="preserve"> to assess OEH health risk to deployed personnel. </w:t>
      </w:r>
      <w:r w:rsidR="00B14D70">
        <w:t xml:space="preserve">These data were </w:t>
      </w:r>
      <w:r w:rsidR="00DC29C7">
        <w:t>evaluated as the rolling average for each 8-hour period across the year compared to the 8-hour (short-term screening)</w:t>
      </w:r>
      <w:r w:rsidR="00B14D70">
        <w:t xml:space="preserve"> NO</w:t>
      </w:r>
      <w:r w:rsidR="00B14D70" w:rsidRPr="33C63274">
        <w:rPr>
          <w:rStyle w:val="StyleSubscript"/>
        </w:rPr>
        <w:t>2</w:t>
      </w:r>
      <w:r w:rsidR="00B14D70">
        <w:t xml:space="preserve"> MEG. The range of </w:t>
      </w:r>
      <w:r w:rsidR="00DC29C7">
        <w:t>8</w:t>
      </w:r>
      <w:r w:rsidR="00421C9E">
        <w:t>-hour concentrations was</w:t>
      </w:r>
      <w:r w:rsidR="00421C9E" w:rsidRPr="33C63274">
        <w:rPr>
          <w:highlight w:val="yellow"/>
        </w:rPr>
        <w:t xml:space="preserve"> XX ppb – XX ppb</w:t>
      </w:r>
      <w:r w:rsidR="00B14D70">
        <w:t xml:space="preserve"> with an </w:t>
      </w:r>
      <w:r w:rsidR="1F765A7A">
        <w:t xml:space="preserve">annual </w:t>
      </w:r>
      <w:r w:rsidR="00B14D70">
        <w:t>average concentration of</w:t>
      </w:r>
      <w:r w:rsidR="00B14D70" w:rsidRPr="33C63274">
        <w:rPr>
          <w:highlight w:val="yellow"/>
        </w:rPr>
        <w:t xml:space="preserve"> XX ppb.</w:t>
      </w:r>
      <w:r w:rsidR="00DC29C7">
        <w:t xml:space="preserve"> The maximum 1-hour concentration was </w:t>
      </w:r>
      <w:r w:rsidR="00E10223" w:rsidRPr="33C63274">
        <w:rPr>
          <w:highlight w:val="yellow"/>
        </w:rPr>
        <w:t>XX</w:t>
      </w:r>
      <w:r w:rsidR="00DC29C7" w:rsidRPr="33C63274">
        <w:rPr>
          <w:highlight w:val="yellow"/>
        </w:rPr>
        <w:t xml:space="preserve"> ppb in Year and </w:t>
      </w:r>
      <w:r w:rsidR="00E10223" w:rsidRPr="33C63274">
        <w:rPr>
          <w:highlight w:val="yellow"/>
        </w:rPr>
        <w:t>XX</w:t>
      </w:r>
      <w:r w:rsidR="00DC29C7" w:rsidRPr="33C63274">
        <w:rPr>
          <w:highlight w:val="yellow"/>
        </w:rPr>
        <w:t xml:space="preserve"> ppb in Year</w:t>
      </w:r>
      <w:r w:rsidR="00DC29C7">
        <w:t>.</w:t>
      </w:r>
      <w:r w:rsidR="00C935A0" w:rsidRPr="00F12F9B">
        <w:rPr>
          <w:color w:val="0070C0"/>
        </w:rPr>
        <w:t xml:space="preserve"> [Use integers or limit to </w:t>
      </w:r>
      <w:r w:rsidR="00B01ADB" w:rsidRPr="00F12F9B">
        <w:rPr>
          <w:color w:val="0070C0"/>
        </w:rPr>
        <w:t>2 significant figures for all concentrations</w:t>
      </w:r>
      <w:r w:rsidR="00C935A0" w:rsidRPr="00F12F9B">
        <w:rPr>
          <w:color w:val="0070C0"/>
        </w:rPr>
        <w:t>.]</w:t>
      </w:r>
    </w:p>
    <w:p w14:paraId="7DF2B64C" w14:textId="77777777" w:rsidR="00236A6F" w:rsidRDefault="00236A6F" w:rsidP="0051520C"/>
    <w:p w14:paraId="634875D2" w14:textId="62DEE8FA" w:rsidR="00236A6F" w:rsidRDefault="00236A6F" w:rsidP="00FD4769">
      <w:pPr>
        <w:pStyle w:val="Heading3"/>
      </w:pPr>
      <w:r>
        <w:t xml:space="preserve">Short-term </w:t>
      </w:r>
      <w:r w:rsidR="000D09F5">
        <w:t>Health Risk</w:t>
      </w:r>
      <w:r>
        <w:t xml:space="preserve">s: </w:t>
      </w:r>
    </w:p>
    <w:p w14:paraId="6DDCEF00" w14:textId="77777777" w:rsidR="00236A6F" w:rsidRDefault="00236A6F" w:rsidP="0051520C"/>
    <w:p w14:paraId="3B16F1C5" w14:textId="299BEAD3" w:rsidR="005E4DB2" w:rsidRDefault="005E4DB2" w:rsidP="0051520C">
      <w:r w:rsidRPr="005E4DB2">
        <w:rPr>
          <w:b/>
          <w:bCs/>
          <w:color w:val="0070C0"/>
        </w:rPr>
        <w:t xml:space="preserve">[Compare </w:t>
      </w:r>
      <w:r>
        <w:rPr>
          <w:b/>
          <w:bCs/>
          <w:color w:val="0070C0"/>
        </w:rPr>
        <w:t>NO</w:t>
      </w:r>
      <w:r>
        <w:rPr>
          <w:b/>
          <w:bCs/>
          <w:color w:val="0070C0"/>
          <w:vertAlign w:val="subscript"/>
        </w:rPr>
        <w:t>2</w:t>
      </w:r>
      <w:r w:rsidRPr="005E4DB2">
        <w:rPr>
          <w:b/>
          <w:bCs/>
          <w:color w:val="0070C0"/>
        </w:rPr>
        <w:t xml:space="preserve"> data to short-term MEGs and include confidence levels if applicable.]</w:t>
      </w:r>
    </w:p>
    <w:p w14:paraId="5840626C" w14:textId="77777777" w:rsidR="005E4DB2" w:rsidRDefault="005E4DB2" w:rsidP="0051520C"/>
    <w:p w14:paraId="4FC9BA8D" w14:textId="3CF7179A" w:rsidR="00236A6F" w:rsidRDefault="00236A6F" w:rsidP="00FD4769">
      <w:pPr>
        <w:pStyle w:val="Heading3"/>
      </w:pPr>
      <w:r>
        <w:lastRenderedPageBreak/>
        <w:t xml:space="preserve">Long-term </w:t>
      </w:r>
      <w:r w:rsidR="000D09F5">
        <w:t>Health Risks</w:t>
      </w:r>
      <w:r>
        <w:t xml:space="preserve">: </w:t>
      </w:r>
    </w:p>
    <w:p w14:paraId="447A109F" w14:textId="097B7BE4" w:rsidR="00772099" w:rsidRDefault="00772099" w:rsidP="0051520C"/>
    <w:p w14:paraId="59662B8F" w14:textId="580F293C" w:rsidR="005E4DB2" w:rsidRPr="005E4DB2" w:rsidRDefault="005E4DB2" w:rsidP="005E4DB2">
      <w:pPr>
        <w:rPr>
          <w:b/>
          <w:bCs/>
        </w:rPr>
      </w:pPr>
      <w:r w:rsidRPr="005E4DB2">
        <w:rPr>
          <w:b/>
          <w:bCs/>
          <w:color w:val="0070C0"/>
        </w:rPr>
        <w:t xml:space="preserve">[Compare </w:t>
      </w:r>
      <w:r>
        <w:rPr>
          <w:b/>
          <w:bCs/>
          <w:color w:val="0070C0"/>
        </w:rPr>
        <w:t>NO</w:t>
      </w:r>
      <w:r>
        <w:rPr>
          <w:b/>
          <w:bCs/>
          <w:color w:val="0070C0"/>
          <w:vertAlign w:val="subscript"/>
        </w:rPr>
        <w:t>2</w:t>
      </w:r>
      <w:r w:rsidRPr="005E4DB2">
        <w:rPr>
          <w:b/>
          <w:bCs/>
          <w:color w:val="0070C0"/>
        </w:rPr>
        <w:t xml:space="preserve"> data to </w:t>
      </w:r>
      <w:r>
        <w:rPr>
          <w:b/>
          <w:bCs/>
          <w:color w:val="0070C0"/>
        </w:rPr>
        <w:t>1-year Negligible</w:t>
      </w:r>
      <w:r w:rsidRPr="005E4DB2">
        <w:rPr>
          <w:b/>
          <w:bCs/>
          <w:color w:val="0070C0"/>
        </w:rPr>
        <w:t xml:space="preserve"> MEG and include confidence levels if applicable.]</w:t>
      </w:r>
    </w:p>
    <w:p w14:paraId="7944637F" w14:textId="77777777" w:rsidR="005E4DB2" w:rsidRPr="00772099" w:rsidRDefault="005E4DB2" w:rsidP="0051520C"/>
    <w:p w14:paraId="03C83689" w14:textId="2DECE859" w:rsidR="005B3AA1" w:rsidRPr="00031169" w:rsidRDefault="005B3AA1" w:rsidP="0010791E">
      <w:pPr>
        <w:pStyle w:val="Heading1"/>
      </w:pPr>
      <w:r w:rsidRPr="00031169">
        <w:t>Soil</w:t>
      </w:r>
    </w:p>
    <w:p w14:paraId="61703034" w14:textId="77777777" w:rsidR="005D2416" w:rsidRPr="00031169" w:rsidRDefault="005D2416" w:rsidP="0051520C"/>
    <w:p w14:paraId="2945F37C" w14:textId="532AAFA4" w:rsidR="005B3AA1" w:rsidRPr="00031169" w:rsidRDefault="005B3AA1" w:rsidP="00580B36">
      <w:pPr>
        <w:pStyle w:val="Heading2"/>
      </w:pPr>
      <w:r w:rsidRPr="00031169">
        <w:t>Site-Specific Sources Identified</w:t>
      </w:r>
    </w:p>
    <w:p w14:paraId="3449F537" w14:textId="32130F78" w:rsidR="005D2416" w:rsidRDefault="005D2416" w:rsidP="0051520C"/>
    <w:p w14:paraId="09AC683A" w14:textId="5D3D1224" w:rsidR="00D94062" w:rsidRPr="00A74718" w:rsidRDefault="00D94062" w:rsidP="0051520C">
      <w:r w:rsidRPr="00A74718">
        <w:t xml:space="preserve">The primary </w:t>
      </w:r>
      <w:r>
        <w:t xml:space="preserve">ways personnel were exposed to soil were through </w:t>
      </w:r>
      <w:r w:rsidRPr="00A74718">
        <w:t xml:space="preserve">dermal contact and dust inhalation. Typical parameters analyzed for included </w:t>
      </w:r>
      <w:r>
        <w:rPr>
          <w:bCs/>
        </w:rPr>
        <w:t>semi-</w:t>
      </w:r>
      <w:r w:rsidRPr="00A74718">
        <w:rPr>
          <w:bCs/>
        </w:rPr>
        <w:t>volatile organic compounds</w:t>
      </w:r>
      <w:r w:rsidRPr="00A74718">
        <w:t xml:space="preserve">, heavy metals, polychlorinated biphenyls, </w:t>
      </w:r>
      <w:r w:rsidR="00B07B27">
        <w:t xml:space="preserve">radionuclides, </w:t>
      </w:r>
      <w:r w:rsidRPr="00A74718">
        <w:t>pesticides, and herbicides. For the risk assessment, personnel are assumed to remain at this location for 6 months to 1 year.</w:t>
      </w:r>
    </w:p>
    <w:p w14:paraId="204535B4" w14:textId="77777777" w:rsidR="00D94062" w:rsidRPr="00031169" w:rsidRDefault="00D94062" w:rsidP="0051520C"/>
    <w:p w14:paraId="04D071DF" w14:textId="542A1BFD" w:rsidR="005D2416" w:rsidRPr="00EF6431" w:rsidRDefault="005D2416" w:rsidP="00580B36">
      <w:pPr>
        <w:pStyle w:val="Heading2"/>
      </w:pPr>
      <w:r w:rsidRPr="00031169">
        <w:t xml:space="preserve">Sample </w:t>
      </w:r>
      <w:r w:rsidR="000D09F5" w:rsidRPr="00031169">
        <w:t>Data</w:t>
      </w:r>
      <w:r w:rsidRPr="00031169">
        <w:t>/</w:t>
      </w:r>
      <w:r w:rsidR="000D09F5">
        <w:t>N</w:t>
      </w:r>
      <w:r w:rsidR="000D09F5" w:rsidRPr="00031169">
        <w:t>otes</w:t>
      </w:r>
      <w:r w:rsidRPr="00031169">
        <w:t>:</w:t>
      </w:r>
    </w:p>
    <w:p w14:paraId="1F6CAEC6" w14:textId="20243A67" w:rsidR="003F2A38" w:rsidRPr="00A74718" w:rsidRDefault="003F2A38" w:rsidP="0051520C"/>
    <w:p w14:paraId="28E14920" w14:textId="1C97D745" w:rsidR="003F2A38" w:rsidRPr="00A74718" w:rsidRDefault="001F2038" w:rsidP="0051520C">
      <w:r w:rsidRPr="00852EBA">
        <w:t xml:space="preserve">A total of </w:t>
      </w:r>
      <w:r w:rsidR="00A8231C" w:rsidRPr="00A8231C">
        <w:rPr>
          <w:highlight w:val="yellow"/>
        </w:rPr>
        <w:t>XX</w:t>
      </w:r>
      <w:r w:rsidR="003F2A38" w:rsidRPr="00A74718">
        <w:t xml:space="preserve"> valid surface soil </w:t>
      </w:r>
      <w:commentRangeStart w:id="39"/>
      <w:r w:rsidR="003F2A38" w:rsidRPr="00A74718">
        <w:t>sample</w:t>
      </w:r>
      <w:r w:rsidR="00A8231C">
        <w:t>s</w:t>
      </w:r>
      <w:r w:rsidR="003F2A38" w:rsidRPr="00A74718">
        <w:t xml:space="preserve"> w</w:t>
      </w:r>
      <w:r w:rsidR="00A8231C">
        <w:t xml:space="preserve">ere </w:t>
      </w:r>
      <w:r w:rsidR="00A8231C" w:rsidRPr="00D1043F">
        <w:t>collected</w:t>
      </w:r>
      <w:commentRangeEnd w:id="39"/>
      <w:r w:rsidR="007B6784" w:rsidRPr="00D1043F">
        <w:rPr>
          <w:rStyle w:val="CommentReference"/>
        </w:rPr>
        <w:commentReference w:id="39"/>
      </w:r>
      <w:r w:rsidR="00A8231C" w:rsidRPr="00D1043F">
        <w:rPr>
          <w:color w:val="0070C0"/>
        </w:rPr>
        <w:t xml:space="preserve"> </w:t>
      </w:r>
      <w:r w:rsidR="005E4DB2" w:rsidRPr="00D1043F">
        <w:rPr>
          <w:color w:val="0070C0"/>
        </w:rPr>
        <w:t>[</w:t>
      </w:r>
      <w:r w:rsidR="00D1043F">
        <w:rPr>
          <w:color w:val="0070C0"/>
        </w:rPr>
        <w:t>i</w:t>
      </w:r>
      <w:r w:rsidR="005E4DB2" w:rsidRPr="00D1043F">
        <w:rPr>
          <w:color w:val="0070C0"/>
        </w:rPr>
        <w:t xml:space="preserve">nclude site specific exposure information] </w:t>
      </w:r>
      <w:r w:rsidR="00A8231C">
        <w:t xml:space="preserve">at </w:t>
      </w:r>
      <w:r w:rsidR="00A8231C" w:rsidRPr="00F83ED9">
        <w:rPr>
          <w:highlight w:val="green"/>
        </w:rPr>
        <w:t>Camp XX</w:t>
      </w:r>
      <w:r w:rsidR="003F2A38" w:rsidRPr="00A74718">
        <w:t xml:space="preserve"> </w:t>
      </w:r>
      <w:r w:rsidR="00F83ED9">
        <w:t xml:space="preserve">from </w:t>
      </w:r>
      <w:r w:rsidR="00F83ED9" w:rsidRPr="00F83ED9">
        <w:rPr>
          <w:highlight w:val="yellow"/>
        </w:rPr>
        <w:t>Month</w:t>
      </w:r>
      <w:r w:rsidR="003F2A38" w:rsidRPr="00F83ED9">
        <w:rPr>
          <w:highlight w:val="yellow"/>
        </w:rPr>
        <w:t xml:space="preserve"> </w:t>
      </w:r>
      <w:r w:rsidR="00F83ED9" w:rsidRPr="00F83ED9">
        <w:rPr>
          <w:highlight w:val="yellow"/>
        </w:rPr>
        <w:t>Year</w:t>
      </w:r>
      <w:r w:rsidR="003F2A38" w:rsidRPr="00A74718">
        <w:t xml:space="preserve"> </w:t>
      </w:r>
      <w:r w:rsidR="00F83ED9">
        <w:t xml:space="preserve">to </w:t>
      </w:r>
      <w:r w:rsidR="00F83ED9" w:rsidRPr="00F83ED9">
        <w:rPr>
          <w:highlight w:val="yellow"/>
        </w:rPr>
        <w:t>Month Year</w:t>
      </w:r>
      <w:r w:rsidR="00F83ED9">
        <w:t xml:space="preserve"> </w:t>
      </w:r>
      <w:r w:rsidR="003F2A38" w:rsidRPr="00A74718">
        <w:t>to assess OEH health risk to deployed personnel.</w:t>
      </w:r>
    </w:p>
    <w:p w14:paraId="4E923EC3" w14:textId="77777777" w:rsidR="005D2416" w:rsidRPr="00A74718" w:rsidRDefault="005D2416" w:rsidP="0051520C"/>
    <w:p w14:paraId="5B7E95C1" w14:textId="1FBC462A" w:rsidR="005D2416" w:rsidRPr="00A74718" w:rsidRDefault="005D2416" w:rsidP="00580B36">
      <w:pPr>
        <w:pStyle w:val="Heading2"/>
      </w:pPr>
      <w:r w:rsidRPr="00A74718">
        <w:t xml:space="preserve">Short-term </w:t>
      </w:r>
      <w:r w:rsidR="000D09F5" w:rsidRPr="00A74718">
        <w:t>Health Risk</w:t>
      </w:r>
      <w:r w:rsidR="000D09F5">
        <w:t>s</w:t>
      </w:r>
      <w:r w:rsidRPr="00A74718">
        <w:t>:</w:t>
      </w:r>
    </w:p>
    <w:p w14:paraId="224401EE" w14:textId="77777777" w:rsidR="005D2416" w:rsidRPr="00A74718" w:rsidRDefault="005D2416" w:rsidP="0051520C"/>
    <w:p w14:paraId="260AC1C2" w14:textId="4632EC0E" w:rsidR="005D2416" w:rsidRPr="00A74718" w:rsidRDefault="005D2416" w:rsidP="0051520C">
      <w:bookmarkStart w:id="40" w:name="Soil_short"/>
      <w:r w:rsidRPr="00A74718">
        <w:rPr>
          <w:b/>
          <w:bCs/>
        </w:rPr>
        <w:t>Not an identified source of health risk</w:t>
      </w:r>
      <w:bookmarkEnd w:id="40"/>
      <w:r w:rsidR="002C6D14" w:rsidRPr="00EF6431">
        <w:rPr>
          <w:b/>
        </w:rPr>
        <w:t>.</w:t>
      </w:r>
      <w:r w:rsidR="002C6D14" w:rsidRPr="00A74718">
        <w:t xml:space="preserve"> </w:t>
      </w:r>
      <w:r w:rsidR="00B07B27">
        <w:t>No</w:t>
      </w:r>
      <w:r w:rsidRPr="00A74718">
        <w:t xml:space="preserve"> short</w:t>
      </w:r>
      <w:r w:rsidR="001F2038">
        <w:t>-</w:t>
      </w:r>
      <w:r w:rsidRPr="00A74718">
        <w:t xml:space="preserve">term </w:t>
      </w:r>
      <w:r w:rsidR="00B07B27">
        <w:t xml:space="preserve">(acute) MEGs are available for </w:t>
      </w:r>
      <w:r w:rsidR="00B07B27" w:rsidRPr="00B07B27">
        <w:t>soil</w:t>
      </w:r>
      <w:r w:rsidRPr="00B07B27">
        <w:rPr>
          <w:bCs/>
        </w:rPr>
        <w:t>.</w:t>
      </w:r>
    </w:p>
    <w:p w14:paraId="05B7EF18" w14:textId="77777777" w:rsidR="005D2416" w:rsidRPr="00A74718" w:rsidRDefault="005D2416" w:rsidP="0051520C"/>
    <w:p w14:paraId="7C5C275C" w14:textId="424925A9" w:rsidR="005D2416" w:rsidRPr="00A74718" w:rsidRDefault="005D2416" w:rsidP="00580B36">
      <w:pPr>
        <w:pStyle w:val="Heading2"/>
      </w:pPr>
      <w:r w:rsidRPr="00A74718">
        <w:t xml:space="preserve">Long-term </w:t>
      </w:r>
      <w:r w:rsidR="000D09F5" w:rsidRPr="00A74718">
        <w:t>Health Risk</w:t>
      </w:r>
      <w:r w:rsidR="000D09F5">
        <w:t>s</w:t>
      </w:r>
      <w:r w:rsidRPr="00A74718">
        <w:t>:</w:t>
      </w:r>
    </w:p>
    <w:p w14:paraId="765EE4BD" w14:textId="77777777" w:rsidR="005D2416" w:rsidRPr="00A74718" w:rsidRDefault="005D2416" w:rsidP="0051520C"/>
    <w:p w14:paraId="317A0B4A" w14:textId="3DB11577" w:rsidR="005D2416" w:rsidRPr="00C368B3" w:rsidRDefault="005D2416" w:rsidP="004408A5">
      <w:pPr>
        <w:pStyle w:val="BodyTextFirstIndent"/>
        <w:ind w:firstLine="0"/>
      </w:pPr>
      <w:bookmarkStart w:id="41" w:name="Soil_long"/>
      <w:r w:rsidRPr="00A74718">
        <w:rPr>
          <w:b/>
        </w:rPr>
        <w:t>None identified based on available sample data</w:t>
      </w:r>
      <w:bookmarkEnd w:id="41"/>
      <w:r w:rsidR="002C6D14" w:rsidRPr="00A74718">
        <w:rPr>
          <w:b/>
        </w:rPr>
        <w:t xml:space="preserve">. </w:t>
      </w:r>
      <w:r w:rsidRPr="00D94062">
        <w:rPr>
          <w:highlight w:val="yellow"/>
        </w:rPr>
        <w:t xml:space="preserve">No parameters exceeded </w:t>
      </w:r>
      <w:r w:rsidR="007D3B2E" w:rsidRPr="00D94062">
        <w:rPr>
          <w:highlight w:val="yellow"/>
        </w:rPr>
        <w:t>the</w:t>
      </w:r>
      <w:r w:rsidR="00B07B27">
        <w:rPr>
          <w:highlight w:val="yellow"/>
        </w:rPr>
        <w:t>ir respective</w:t>
      </w:r>
      <w:r w:rsidR="007D3B2E" w:rsidRPr="00D94062">
        <w:rPr>
          <w:highlight w:val="yellow"/>
        </w:rPr>
        <w:t xml:space="preserve"> </w:t>
      </w:r>
      <w:r w:rsidRPr="00D94062">
        <w:rPr>
          <w:highlight w:val="yellow"/>
        </w:rPr>
        <w:t>1-year Negligible MEGs</w:t>
      </w:r>
      <w:r w:rsidR="002B5103" w:rsidRPr="00D94062">
        <w:rPr>
          <w:highlight w:val="yellow"/>
        </w:rPr>
        <w:t>.</w:t>
      </w:r>
    </w:p>
    <w:p w14:paraId="320FEDA0" w14:textId="77777777" w:rsidR="005D2416" w:rsidRPr="00C368B3" w:rsidRDefault="005D2416" w:rsidP="0051520C"/>
    <w:p w14:paraId="6DBD3327" w14:textId="515B55A1" w:rsidR="005B3AA1" w:rsidRPr="00225C3C" w:rsidRDefault="005B3AA1" w:rsidP="0010791E">
      <w:pPr>
        <w:pStyle w:val="Heading1"/>
      </w:pPr>
      <w:r w:rsidRPr="00225C3C">
        <w:t>Water</w:t>
      </w:r>
    </w:p>
    <w:p w14:paraId="28E7AC8A" w14:textId="77777777" w:rsidR="005D2416" w:rsidRPr="001B6B74" w:rsidRDefault="005D2416" w:rsidP="0051520C">
      <w:pPr>
        <w:rPr>
          <w:highlight w:val="yellow"/>
        </w:rPr>
      </w:pPr>
    </w:p>
    <w:p w14:paraId="5AD2E566" w14:textId="077541A8" w:rsidR="005D2416" w:rsidRPr="00A74718" w:rsidRDefault="00B07B27" w:rsidP="0051520C">
      <w:r>
        <w:t xml:space="preserve">Deployed </w:t>
      </w:r>
      <w:r w:rsidR="005D2416">
        <w:t xml:space="preserve">U.S. personnel </w:t>
      </w:r>
      <w:r>
        <w:t>may be exposed to hazards in water used for drinking and non-drinking purposes</w:t>
      </w:r>
      <w:r w:rsidR="0021742C">
        <w:t xml:space="preserve"> (e.g., bathing, </w:t>
      </w:r>
      <w:r w:rsidR="00B1731B">
        <w:t xml:space="preserve">hygiene, </w:t>
      </w:r>
      <w:r w:rsidR="0021742C">
        <w:t>swimming)</w:t>
      </w:r>
      <w:r>
        <w:t xml:space="preserve">. Health risks associated with the water supply are evaluated based on the exposure pathways in </w:t>
      </w:r>
      <w:r w:rsidR="001B7B97">
        <w:t>DOEHRS</w:t>
      </w:r>
      <w:r>
        <w:t xml:space="preserve"> and the</w:t>
      </w:r>
      <w:r w:rsidR="005D2416">
        <w:t xml:space="preserve"> information provided </w:t>
      </w:r>
      <w:r>
        <w:t xml:space="preserve">on the field data sheets that were submitted with the samples taken during the </w:t>
      </w:r>
      <w:proofErr w:type="gramStart"/>
      <w:r>
        <w:t>time period</w:t>
      </w:r>
      <w:proofErr w:type="gramEnd"/>
      <w:r>
        <w:t xml:space="preserve"> being evaluated</w:t>
      </w:r>
      <w:r w:rsidR="005817F4">
        <w:t>.</w:t>
      </w:r>
      <w:r w:rsidR="00B1731B">
        <w:t xml:space="preserve"> </w:t>
      </w:r>
      <w:r w:rsidR="005C15CB">
        <w:t>All water supplies for human contact usage are required to meet chemical and physical water quality standards (naturally or via treatment) and must be disinfected. Exceptions can be authorized in writing by the local medical authority when necessary.</w:t>
      </w:r>
    </w:p>
    <w:p w14:paraId="67B76DE4" w14:textId="77777777" w:rsidR="00BE5032" w:rsidRPr="00A74718" w:rsidRDefault="00BE5032" w:rsidP="0051520C"/>
    <w:p w14:paraId="7B393C2E" w14:textId="13AE31C4" w:rsidR="00225C3C" w:rsidRPr="00A74718" w:rsidRDefault="00225C3C" w:rsidP="00580B36">
      <w:pPr>
        <w:pStyle w:val="Heading2"/>
      </w:pPr>
      <w:r w:rsidRPr="00A74718">
        <w:t>Drinking Water</w:t>
      </w:r>
    </w:p>
    <w:p w14:paraId="707C7D6F" w14:textId="77777777" w:rsidR="005D2416" w:rsidRPr="00A74718" w:rsidRDefault="005D2416" w:rsidP="0051520C"/>
    <w:p w14:paraId="2FD5B375" w14:textId="6329E1B0" w:rsidR="00346524" w:rsidRDefault="00346524" w:rsidP="00FD4769">
      <w:pPr>
        <w:pStyle w:val="Heading3"/>
      </w:pPr>
      <w:r w:rsidRPr="00A74718">
        <w:t>Site-Specific Sources Identified</w:t>
      </w:r>
    </w:p>
    <w:p w14:paraId="2876D299" w14:textId="77777777" w:rsidR="004414E0" w:rsidRDefault="004414E0" w:rsidP="004414E0"/>
    <w:p w14:paraId="6E4C83D5" w14:textId="49EAB68B" w:rsidR="004414E0" w:rsidRPr="00FA3A5F" w:rsidRDefault="004414E0" w:rsidP="004414E0">
      <w:pPr>
        <w:rPr>
          <w:b/>
          <w:bCs/>
          <w:color w:val="0070C0"/>
        </w:rPr>
      </w:pPr>
      <w:r w:rsidRPr="00FA3A5F">
        <w:rPr>
          <w:b/>
          <w:bCs/>
          <w:color w:val="0070C0"/>
        </w:rPr>
        <w:t>[Include site-specific water source information including all treatment pr</w:t>
      </w:r>
      <w:r w:rsidR="006E21A3" w:rsidRPr="00FA3A5F">
        <w:rPr>
          <w:b/>
          <w:bCs/>
          <w:color w:val="0070C0"/>
        </w:rPr>
        <w:t>o</w:t>
      </w:r>
      <w:r w:rsidRPr="00FA3A5F">
        <w:rPr>
          <w:b/>
          <w:bCs/>
          <w:color w:val="0070C0"/>
        </w:rPr>
        <w:t>cesses (ROWPU, TWPS</w:t>
      </w:r>
      <w:r w:rsidR="003476EA" w:rsidRPr="00FA3A5F">
        <w:rPr>
          <w:b/>
          <w:bCs/>
          <w:color w:val="0070C0"/>
        </w:rPr>
        <w:t>, etc.) for drinking water.]</w:t>
      </w:r>
    </w:p>
    <w:p w14:paraId="345258C9" w14:textId="77777777" w:rsidR="00346524" w:rsidRPr="00A74718" w:rsidRDefault="00346524" w:rsidP="0051520C"/>
    <w:p w14:paraId="5624E338" w14:textId="6A9A549A" w:rsidR="00346524" w:rsidRPr="00A74718" w:rsidRDefault="00346524" w:rsidP="0051520C">
      <w:r w:rsidRPr="00A74718">
        <w:t xml:space="preserve">The OEHSA for </w:t>
      </w:r>
      <w:r w:rsidRPr="00AA50FD">
        <w:rPr>
          <w:highlight w:val="green"/>
        </w:rPr>
        <w:t>Camp XXX</w:t>
      </w:r>
      <w:r w:rsidRPr="00A74718">
        <w:t xml:space="preserve"> indicated that </w:t>
      </w:r>
      <w:r w:rsidRPr="00D94062">
        <w:rPr>
          <w:highlight w:val="yellow"/>
        </w:rPr>
        <w:t xml:space="preserve">bottled water was the only approved water </w:t>
      </w:r>
      <w:r>
        <w:rPr>
          <w:highlight w:val="yellow"/>
        </w:rPr>
        <w:t xml:space="preserve">supply </w:t>
      </w:r>
      <w:r w:rsidRPr="00D94062">
        <w:rPr>
          <w:highlight w:val="yellow"/>
        </w:rPr>
        <w:t>for drinking and teeth brushing.</w:t>
      </w:r>
      <w:r>
        <w:t xml:space="preserve"> The OEHSA identified one </w:t>
      </w:r>
      <w:r w:rsidRPr="00A74718">
        <w:t xml:space="preserve">approved </w:t>
      </w:r>
      <w:r w:rsidR="3023FFA3" w:rsidRPr="6B478C26">
        <w:rPr>
          <w:highlight w:val="yellow"/>
        </w:rPr>
        <w:t>(Reference XX)</w:t>
      </w:r>
      <w:r w:rsidR="3023FFA3" w:rsidRPr="00A74718">
        <w:t xml:space="preserve"> </w:t>
      </w:r>
      <w:r w:rsidRPr="00A74718">
        <w:t xml:space="preserve">bottled water brand, </w:t>
      </w:r>
      <w:r w:rsidRPr="003125DB">
        <w:rPr>
          <w:highlight w:val="yellow"/>
        </w:rPr>
        <w:t xml:space="preserve">Al </w:t>
      </w:r>
      <w:proofErr w:type="spellStart"/>
      <w:r w:rsidRPr="003125DB">
        <w:rPr>
          <w:highlight w:val="yellow"/>
        </w:rPr>
        <w:t>Waha</w:t>
      </w:r>
      <w:proofErr w:type="spellEnd"/>
      <w:r w:rsidRPr="00D80374">
        <w:rPr>
          <w:highlight w:val="yellow"/>
          <w:vertAlign w:val="superscript"/>
        </w:rPr>
        <w:t>®</w:t>
      </w:r>
      <w:r w:rsidRPr="00A74718">
        <w:t xml:space="preserve"> </w:t>
      </w:r>
      <w:r w:rsidRPr="00FF3E73">
        <w:t>that</w:t>
      </w:r>
      <w:r>
        <w:t xml:space="preserve"> </w:t>
      </w:r>
      <w:r w:rsidRPr="00A74718">
        <w:t xml:space="preserve">was </w:t>
      </w:r>
      <w:r>
        <w:t>provided</w:t>
      </w:r>
      <w:r w:rsidRPr="00A74718">
        <w:t xml:space="preserve"> for drinking</w:t>
      </w:r>
      <w:r>
        <w:t>.</w:t>
      </w:r>
      <w:commentRangeStart w:id="42"/>
      <w:r>
        <w:rPr>
          <w:rStyle w:val="FootnoteReference"/>
          <w:sz w:val="22"/>
          <w:szCs w:val="22"/>
        </w:rPr>
        <w:footnoteReference w:id="2"/>
      </w:r>
      <w:commentRangeEnd w:id="42"/>
      <w:r>
        <w:rPr>
          <w:rStyle w:val="CommentReference"/>
        </w:rPr>
        <w:commentReference w:id="42"/>
      </w:r>
      <w:r>
        <w:t xml:space="preserve"> However, t</w:t>
      </w:r>
      <w:r w:rsidRPr="00A74718">
        <w:t xml:space="preserve">here were no bottled water samples </w:t>
      </w:r>
      <w:r>
        <w:t>provided for</w:t>
      </w:r>
      <w:r w:rsidRPr="00A74718">
        <w:t xml:space="preserve"> evaluat</w:t>
      </w:r>
      <w:r>
        <w:t>ion</w:t>
      </w:r>
      <w:r w:rsidRPr="00A74718">
        <w:t>.</w:t>
      </w:r>
    </w:p>
    <w:p w14:paraId="271D3BAB" w14:textId="77777777" w:rsidR="003F789F" w:rsidRPr="00A74718" w:rsidRDefault="003F789F" w:rsidP="0051520C"/>
    <w:p w14:paraId="523EB122" w14:textId="5CB85E04" w:rsidR="00B42E00" w:rsidRPr="00A74718" w:rsidRDefault="00B86835" w:rsidP="00FD4769">
      <w:pPr>
        <w:pStyle w:val="Heading3"/>
      </w:pPr>
      <w:r>
        <w:t>Short-term and L</w:t>
      </w:r>
      <w:r w:rsidR="00B42E00" w:rsidRPr="00A74718">
        <w:t xml:space="preserve">ong-term </w:t>
      </w:r>
      <w:r w:rsidR="000D09F5" w:rsidRPr="00A74718">
        <w:t>Health Risk</w:t>
      </w:r>
      <w:r w:rsidR="000D09F5">
        <w:t>s</w:t>
      </w:r>
      <w:r w:rsidR="00B42E00" w:rsidRPr="00A74718">
        <w:t>:</w:t>
      </w:r>
    </w:p>
    <w:p w14:paraId="4A1E4C87" w14:textId="77777777" w:rsidR="00B42E00" w:rsidRPr="001C5FF5" w:rsidRDefault="00B42E00" w:rsidP="0051520C">
      <w:pPr>
        <w:rPr>
          <w:highlight w:val="yellow"/>
        </w:rPr>
      </w:pPr>
    </w:p>
    <w:p w14:paraId="264FC405" w14:textId="47749B4F" w:rsidR="00A36EDF" w:rsidRPr="00A74718" w:rsidRDefault="00A36EDF" w:rsidP="0051520C">
      <w:r w:rsidRPr="00A74718">
        <w:t>No available sample data to determine a health risk</w:t>
      </w:r>
      <w:r w:rsidR="002C6D14" w:rsidRPr="00A74718">
        <w:t xml:space="preserve">. </w:t>
      </w:r>
    </w:p>
    <w:p w14:paraId="23BFF7E3" w14:textId="77777777" w:rsidR="005D2416" w:rsidRPr="001C5FF5" w:rsidRDefault="005D2416" w:rsidP="0051520C">
      <w:pPr>
        <w:rPr>
          <w:highlight w:val="yellow"/>
        </w:rPr>
      </w:pPr>
    </w:p>
    <w:p w14:paraId="5584AD28" w14:textId="6A59DFB5" w:rsidR="00225C3C" w:rsidRPr="00F06D9E" w:rsidRDefault="00225C3C" w:rsidP="00580B36">
      <w:pPr>
        <w:pStyle w:val="Heading2"/>
      </w:pPr>
      <w:r w:rsidRPr="00F06D9E">
        <w:t>Non-Drinking Water</w:t>
      </w:r>
    </w:p>
    <w:p w14:paraId="6D2CF6B6" w14:textId="77777777" w:rsidR="005D2416" w:rsidRPr="00F06D9E" w:rsidRDefault="005D2416" w:rsidP="0051520C"/>
    <w:p w14:paraId="6D82381E" w14:textId="08099023" w:rsidR="006B4A0F" w:rsidRDefault="006B4A0F" w:rsidP="00FD4769">
      <w:pPr>
        <w:pStyle w:val="Heading3"/>
      </w:pPr>
      <w:commentRangeStart w:id="43"/>
      <w:r w:rsidRPr="00F06D9E">
        <w:t>Site</w:t>
      </w:r>
      <w:commentRangeEnd w:id="43"/>
      <w:r w:rsidR="00D57188">
        <w:rPr>
          <w:rStyle w:val="CommentReference"/>
          <w:color w:val="auto"/>
        </w:rPr>
        <w:commentReference w:id="43"/>
      </w:r>
      <w:r w:rsidRPr="00F06D9E">
        <w:t>-Specific Sources Identified</w:t>
      </w:r>
    </w:p>
    <w:p w14:paraId="128308E6" w14:textId="77777777" w:rsidR="006E21A3" w:rsidRDefault="006E21A3" w:rsidP="006E21A3"/>
    <w:p w14:paraId="3B3ED5DA" w14:textId="25CA70F3" w:rsidR="006E21A3" w:rsidRPr="00FA3A5F" w:rsidRDefault="006E21A3" w:rsidP="006E21A3">
      <w:pPr>
        <w:rPr>
          <w:b/>
          <w:bCs/>
          <w:color w:val="0070C0"/>
        </w:rPr>
      </w:pPr>
      <w:r w:rsidRPr="00FA3A5F">
        <w:rPr>
          <w:b/>
          <w:bCs/>
          <w:color w:val="0070C0"/>
        </w:rPr>
        <w:t xml:space="preserve">[If </w:t>
      </w:r>
      <w:r w:rsidR="002E7209" w:rsidRPr="00FA3A5F">
        <w:rPr>
          <w:b/>
          <w:bCs/>
          <w:color w:val="0070C0"/>
        </w:rPr>
        <w:t xml:space="preserve">you have field test results (e.g., coliforms, </w:t>
      </w:r>
      <w:proofErr w:type="gramStart"/>
      <w:r w:rsidR="002E7209" w:rsidRPr="00FA3A5F">
        <w:rPr>
          <w:b/>
          <w:bCs/>
          <w:color w:val="0070C0"/>
        </w:rPr>
        <w:t>E.coli</w:t>
      </w:r>
      <w:proofErr w:type="gramEnd"/>
      <w:r w:rsidR="002E7209" w:rsidRPr="00FA3A5F">
        <w:rPr>
          <w:b/>
          <w:bCs/>
          <w:color w:val="0070C0"/>
        </w:rPr>
        <w:t xml:space="preserve">, etc.) and/or </w:t>
      </w:r>
      <w:r w:rsidR="003538EA" w:rsidRPr="00FA3A5F">
        <w:rPr>
          <w:b/>
          <w:bCs/>
          <w:color w:val="0070C0"/>
        </w:rPr>
        <w:t>inspection narrative or water storage conditions information (found in BCAs or OEHSAs</w:t>
      </w:r>
      <w:r w:rsidR="00CC1972" w:rsidRPr="00FA3A5F">
        <w:rPr>
          <w:b/>
          <w:bCs/>
          <w:color w:val="0070C0"/>
        </w:rPr>
        <w:t>)</w:t>
      </w:r>
      <w:r w:rsidR="00841E46">
        <w:rPr>
          <w:b/>
          <w:bCs/>
          <w:color w:val="0070C0"/>
        </w:rPr>
        <w:t>,</w:t>
      </w:r>
      <w:r w:rsidR="00CC1972" w:rsidRPr="00FA3A5F">
        <w:rPr>
          <w:b/>
          <w:bCs/>
          <w:color w:val="0070C0"/>
        </w:rPr>
        <w:t xml:space="preserve"> then provide it.]</w:t>
      </w:r>
    </w:p>
    <w:p w14:paraId="69C02E48" w14:textId="77777777" w:rsidR="005D2416" w:rsidRPr="00F06D9E" w:rsidRDefault="005D2416" w:rsidP="0051520C"/>
    <w:p w14:paraId="1FF33356" w14:textId="77A2D990" w:rsidR="009A00D0" w:rsidRPr="005B4526" w:rsidRDefault="005416D2" w:rsidP="0051520C">
      <w:r w:rsidRPr="003125DB">
        <w:rPr>
          <w:highlight w:val="yellow"/>
        </w:rPr>
        <w:t xml:space="preserve">The non-drinking water supply was reported to be </w:t>
      </w:r>
      <w:r w:rsidR="005817F4">
        <w:rPr>
          <w:highlight w:val="yellow"/>
        </w:rPr>
        <w:t xml:space="preserve">off-site well water that was </w:t>
      </w:r>
      <w:r w:rsidRPr="003125DB">
        <w:rPr>
          <w:highlight w:val="yellow"/>
        </w:rPr>
        <w:t>transported to the base camp</w:t>
      </w:r>
      <w:r w:rsidR="005817F4">
        <w:rPr>
          <w:highlight w:val="yellow"/>
        </w:rPr>
        <w:t>,</w:t>
      </w:r>
      <w:r w:rsidRPr="003125DB">
        <w:rPr>
          <w:highlight w:val="yellow"/>
        </w:rPr>
        <w:t xml:space="preserve"> transferred into water tanks, and disinfected with chlorine tablets. </w:t>
      </w:r>
      <w:r w:rsidR="005D2416" w:rsidRPr="004E5092">
        <w:t>Although the primary route of exposure for most microorganisms is</w:t>
      </w:r>
      <w:r w:rsidR="00F2088A" w:rsidRPr="004E5092">
        <w:t xml:space="preserve"> the</w:t>
      </w:r>
      <w:r w:rsidR="005D2416" w:rsidRPr="004E5092">
        <w:t xml:space="preserve"> ingestion of contaminated water</w:t>
      </w:r>
      <w:r w:rsidR="00841E46">
        <w:t>,</w:t>
      </w:r>
      <w:r w:rsidR="00841E46" w:rsidRPr="004E5092">
        <w:t xml:space="preserve"> </w:t>
      </w:r>
      <w:r w:rsidR="005D2416" w:rsidRPr="004E5092">
        <w:t>dermal exposure to some microorganisms, chemicals, and biologicals may also cause adverse health effects</w:t>
      </w:r>
      <w:r w:rsidR="002C6D14" w:rsidRPr="004E5092">
        <w:t xml:space="preserve">. </w:t>
      </w:r>
    </w:p>
    <w:p w14:paraId="344D9559" w14:textId="596FACF8" w:rsidR="005D2416" w:rsidRPr="00F06D9E" w:rsidRDefault="005D2416" w:rsidP="0051520C"/>
    <w:p w14:paraId="1F67494E" w14:textId="6BB9DC9B" w:rsidR="005D2416" w:rsidRPr="00F06D9E" w:rsidRDefault="005D2416" w:rsidP="00FD4769">
      <w:pPr>
        <w:pStyle w:val="Heading3"/>
      </w:pPr>
      <w:r w:rsidRPr="00F06D9E">
        <w:t xml:space="preserve">Sample </w:t>
      </w:r>
      <w:r w:rsidR="000D09F5" w:rsidRPr="00F06D9E">
        <w:t>Data</w:t>
      </w:r>
      <w:r w:rsidRPr="00F06D9E">
        <w:t>/Notes:</w:t>
      </w:r>
    </w:p>
    <w:p w14:paraId="5874043C" w14:textId="77777777" w:rsidR="005D2416" w:rsidRPr="00F06D9E" w:rsidRDefault="005D2416" w:rsidP="0051520C"/>
    <w:p w14:paraId="2F448F54" w14:textId="3771D0D7" w:rsidR="00F06D9E" w:rsidRPr="00F06D9E" w:rsidRDefault="005D2416" w:rsidP="0051520C">
      <w:r w:rsidRPr="00F06D9E">
        <w:t>To assess the potential for adverse health effects to troops</w:t>
      </w:r>
      <w:r w:rsidR="00841E46">
        <w:t>,</w:t>
      </w:r>
      <w:r w:rsidRPr="00F06D9E">
        <w:t xml:space="preserve"> the following assumptions were made about dose and duration: All U.S. personnel at this location were expected to remain at this site for approximately 1 year</w:t>
      </w:r>
      <w:r w:rsidR="002C6D14" w:rsidRPr="00F06D9E">
        <w:t xml:space="preserve">. </w:t>
      </w:r>
      <w:r w:rsidRPr="00F06D9E">
        <w:t>A conservative (protective) assumption is that personnel routinely consumed less than 5</w:t>
      </w:r>
      <w:r w:rsidR="00D80374">
        <w:t xml:space="preserve"> </w:t>
      </w:r>
      <w:r w:rsidRPr="00F06D9E">
        <w:t>L/day of non-drinking water for up to 365 days (1-year)</w:t>
      </w:r>
      <w:r w:rsidR="002C6D14" w:rsidRPr="00F06D9E">
        <w:t xml:space="preserve">. </w:t>
      </w:r>
      <w:r w:rsidRPr="00F06D9E">
        <w:t>It is further assumed that control measures and/or personal protective equipment were not used</w:t>
      </w:r>
      <w:r w:rsidR="002C6D14" w:rsidRPr="00F06D9E">
        <w:t xml:space="preserve">. </w:t>
      </w:r>
    </w:p>
    <w:p w14:paraId="49FD6806" w14:textId="77777777" w:rsidR="00F06D9E" w:rsidRPr="00F06D9E" w:rsidRDefault="00F06D9E" w:rsidP="0051520C"/>
    <w:p w14:paraId="75D355E6" w14:textId="1FB71C2D" w:rsidR="005D2416" w:rsidRPr="00F06D9E" w:rsidRDefault="0006213B" w:rsidP="0051520C">
      <w:r>
        <w:t xml:space="preserve">A total of </w:t>
      </w:r>
      <w:r w:rsidRPr="0006213B">
        <w:rPr>
          <w:highlight w:val="yellow"/>
        </w:rPr>
        <w:t>XX</w:t>
      </w:r>
      <w:r w:rsidRPr="00F06D9E">
        <w:t xml:space="preserve"> </w:t>
      </w:r>
      <w:r w:rsidR="0083431D" w:rsidRPr="00F06D9E">
        <w:t>n</w:t>
      </w:r>
      <w:r w:rsidR="005D2416" w:rsidRPr="00F06D9E">
        <w:t>on-</w:t>
      </w:r>
      <w:r w:rsidR="0083431D" w:rsidRPr="00F06D9E">
        <w:t>d</w:t>
      </w:r>
      <w:r w:rsidR="00C679FF" w:rsidRPr="00F06D9E">
        <w:t>rinking water</w:t>
      </w:r>
      <w:r w:rsidR="005D2416" w:rsidRPr="00F06D9E">
        <w:t xml:space="preserve"> samples</w:t>
      </w:r>
      <w:r w:rsidR="00C679FF" w:rsidRPr="00F06D9E">
        <w:t xml:space="preserve"> (</w:t>
      </w:r>
      <w:r>
        <w:rPr>
          <w:highlight w:val="yellow"/>
        </w:rPr>
        <w:t>XX</w:t>
      </w:r>
      <w:r w:rsidRPr="003125DB">
        <w:rPr>
          <w:highlight w:val="yellow"/>
        </w:rPr>
        <w:t xml:space="preserve"> </w:t>
      </w:r>
      <w:r w:rsidR="00C679FF" w:rsidRPr="003125DB">
        <w:rPr>
          <w:highlight w:val="yellow"/>
        </w:rPr>
        <w:t xml:space="preserve">treated and </w:t>
      </w:r>
      <w:r>
        <w:rPr>
          <w:highlight w:val="yellow"/>
        </w:rPr>
        <w:t>XX</w:t>
      </w:r>
      <w:r w:rsidRPr="003125DB">
        <w:rPr>
          <w:highlight w:val="yellow"/>
        </w:rPr>
        <w:t xml:space="preserve"> </w:t>
      </w:r>
      <w:r w:rsidR="00C679FF" w:rsidRPr="003125DB">
        <w:rPr>
          <w:highlight w:val="yellow"/>
        </w:rPr>
        <w:t>untreated</w:t>
      </w:r>
      <w:r w:rsidR="00C679FF" w:rsidRPr="00F06D9E">
        <w:t>)</w:t>
      </w:r>
      <w:r w:rsidR="00EE6F6A" w:rsidRPr="00F06D9E">
        <w:t xml:space="preserve"> </w:t>
      </w:r>
      <w:r w:rsidR="00C679FF" w:rsidRPr="00F06D9E">
        <w:t>were colle</w:t>
      </w:r>
      <w:r w:rsidR="003F2A38" w:rsidRPr="00F06D9E">
        <w:t xml:space="preserve">cted </w:t>
      </w:r>
      <w:r>
        <w:t xml:space="preserve">at </w:t>
      </w:r>
      <w:r w:rsidRPr="00323881">
        <w:rPr>
          <w:highlight w:val="green"/>
        </w:rPr>
        <w:t>Camp XXX</w:t>
      </w:r>
      <w:r>
        <w:t xml:space="preserve"> </w:t>
      </w:r>
      <w:r w:rsidR="003F2A38" w:rsidRPr="00F06D9E">
        <w:t xml:space="preserve">and </w:t>
      </w:r>
      <w:r w:rsidR="00FE49D4">
        <w:t xml:space="preserve">were </w:t>
      </w:r>
      <w:r w:rsidR="003F2A38" w:rsidRPr="00F06D9E">
        <w:t xml:space="preserve">used for </w:t>
      </w:r>
      <w:r w:rsidR="003F2A38" w:rsidRPr="003125DB">
        <w:rPr>
          <w:highlight w:val="yellow"/>
        </w:rPr>
        <w:t xml:space="preserve">showering, </w:t>
      </w:r>
      <w:r w:rsidR="00C679FF" w:rsidRPr="003125DB">
        <w:rPr>
          <w:highlight w:val="yellow"/>
        </w:rPr>
        <w:t>personal hygiene</w:t>
      </w:r>
      <w:r w:rsidR="003F2A38" w:rsidRPr="003125DB">
        <w:rPr>
          <w:highlight w:val="yellow"/>
        </w:rPr>
        <w:t>, and cooking</w:t>
      </w:r>
      <w:r w:rsidR="002C6D14" w:rsidRPr="00F06D9E">
        <w:t>.</w:t>
      </w:r>
    </w:p>
    <w:p w14:paraId="47934C2B" w14:textId="77777777" w:rsidR="00B42E00" w:rsidRPr="00F06D9E" w:rsidRDefault="00B42E00" w:rsidP="0051520C"/>
    <w:p w14:paraId="78DDF1F2" w14:textId="5956D675" w:rsidR="005D2416" w:rsidRPr="00F06D9E" w:rsidRDefault="002339D6" w:rsidP="00FD4769">
      <w:pPr>
        <w:pStyle w:val="Heading3"/>
      </w:pPr>
      <w:r w:rsidRPr="00F06D9E">
        <w:t xml:space="preserve"> </w:t>
      </w:r>
      <w:r w:rsidR="003125DB">
        <w:t>Short-term and L</w:t>
      </w:r>
      <w:r w:rsidR="000F1E63" w:rsidRPr="00F06D9E">
        <w:t xml:space="preserve">ong-term </w:t>
      </w:r>
      <w:r w:rsidR="000D09F5" w:rsidRPr="00F06D9E">
        <w:t>Health Ris</w:t>
      </w:r>
      <w:r w:rsidR="000F1E63" w:rsidRPr="00F06D9E">
        <w:t>k</w:t>
      </w:r>
      <w:r w:rsidR="00300C35">
        <w:t>s</w:t>
      </w:r>
      <w:r w:rsidR="005D2416" w:rsidRPr="00F06D9E">
        <w:t>:</w:t>
      </w:r>
    </w:p>
    <w:p w14:paraId="7597D96E" w14:textId="77777777" w:rsidR="005D2416" w:rsidRPr="00F06D9E" w:rsidRDefault="005D2416" w:rsidP="0051520C"/>
    <w:p w14:paraId="12E9ECA5" w14:textId="3F985D44" w:rsidR="002B5103" w:rsidRPr="002B5103" w:rsidRDefault="00C679FF" w:rsidP="0051520C">
      <w:r w:rsidRPr="003125DB">
        <w:rPr>
          <w:b/>
          <w:color w:val="000000"/>
          <w:highlight w:val="yellow"/>
        </w:rPr>
        <w:t>None identified based on available sample data</w:t>
      </w:r>
      <w:r w:rsidR="002C6D14" w:rsidRPr="003125DB">
        <w:rPr>
          <w:b/>
          <w:color w:val="000000"/>
          <w:highlight w:val="yellow"/>
        </w:rPr>
        <w:t xml:space="preserve">. </w:t>
      </w:r>
      <w:r w:rsidR="008A5032">
        <w:rPr>
          <w:highlight w:val="yellow"/>
        </w:rPr>
        <w:t>All analyte</w:t>
      </w:r>
      <w:r w:rsidR="003125DB">
        <w:rPr>
          <w:highlight w:val="yellow"/>
        </w:rPr>
        <w:t xml:space="preserve"> </w:t>
      </w:r>
      <w:r w:rsidR="008A5032">
        <w:rPr>
          <w:highlight w:val="yellow"/>
        </w:rPr>
        <w:t xml:space="preserve">concentrations </w:t>
      </w:r>
      <w:r w:rsidR="001C5FF5" w:rsidRPr="003125DB">
        <w:rPr>
          <w:highlight w:val="yellow"/>
        </w:rPr>
        <w:t>were below the</w:t>
      </w:r>
      <w:r w:rsidR="00FE49D4" w:rsidRPr="003125DB">
        <w:rPr>
          <w:highlight w:val="yellow"/>
        </w:rPr>
        <w:t>ir</w:t>
      </w:r>
      <w:r w:rsidR="001C5FF5" w:rsidRPr="003125DB">
        <w:rPr>
          <w:highlight w:val="yellow"/>
        </w:rPr>
        <w:t xml:space="preserve"> short</w:t>
      </w:r>
      <w:r w:rsidR="00B86835">
        <w:rPr>
          <w:highlight w:val="yellow"/>
        </w:rPr>
        <w:t>-</w:t>
      </w:r>
      <w:r w:rsidR="002B5103" w:rsidRPr="003125DB">
        <w:rPr>
          <w:highlight w:val="yellow"/>
        </w:rPr>
        <w:t xml:space="preserve"> and long-term negligible MEGs</w:t>
      </w:r>
      <w:commentRangeStart w:id="44"/>
      <w:r w:rsidR="003125DB">
        <w:rPr>
          <w:highlight w:val="yellow"/>
        </w:rPr>
        <w:t>.</w:t>
      </w:r>
      <w:commentRangeEnd w:id="44"/>
      <w:r w:rsidR="003372F4">
        <w:rPr>
          <w:rStyle w:val="CommentReference"/>
        </w:rPr>
        <w:commentReference w:id="44"/>
      </w:r>
      <w:r w:rsidR="005C1A2F">
        <w:t xml:space="preserve"> </w:t>
      </w:r>
    </w:p>
    <w:p w14:paraId="2B5A8D1C" w14:textId="463AC1F3" w:rsidR="00523EED" w:rsidRPr="001B6B74" w:rsidRDefault="00523EED" w:rsidP="0051520C">
      <w:pPr>
        <w:rPr>
          <w:highlight w:val="yellow"/>
        </w:rPr>
      </w:pPr>
    </w:p>
    <w:p w14:paraId="0C82144C" w14:textId="1C5E1AC1" w:rsidR="00225C3C" w:rsidRPr="00031169" w:rsidRDefault="00225C3C" w:rsidP="0010791E">
      <w:pPr>
        <w:pStyle w:val="Heading1"/>
      </w:pPr>
      <w:r w:rsidRPr="00031169">
        <w:t>Military Unique</w:t>
      </w:r>
    </w:p>
    <w:p w14:paraId="6DC39755" w14:textId="77777777" w:rsidR="005F76BB" w:rsidRDefault="005F76BB" w:rsidP="0051520C"/>
    <w:p w14:paraId="5439D3CE" w14:textId="2885737F" w:rsidR="00D1043F" w:rsidRPr="00D1043F" w:rsidRDefault="00D1043F" w:rsidP="0051520C">
      <w:pPr>
        <w:rPr>
          <w:rFonts w:cs="Arial"/>
          <w:b/>
          <w:bCs/>
        </w:rPr>
      </w:pPr>
      <w:r w:rsidRPr="00D1043F">
        <w:rPr>
          <w:rFonts w:cs="Arial"/>
          <w:b/>
          <w:bCs/>
          <w:color w:val="0070C0"/>
        </w:rPr>
        <w:t>[</w:t>
      </w:r>
      <w:r w:rsidRPr="00D1043F">
        <w:rPr>
          <w:rStyle w:val="cf01"/>
          <w:rFonts w:ascii="Arial" w:hAnsi="Arial" w:cs="Arial"/>
          <w:b/>
          <w:bCs/>
          <w:color w:val="0070C0"/>
          <w:sz w:val="24"/>
          <w:szCs w:val="24"/>
        </w:rPr>
        <w:t xml:space="preserve">Provide </w:t>
      </w:r>
      <w:r w:rsidR="006761C1" w:rsidRPr="00D1043F">
        <w:rPr>
          <w:rStyle w:val="cf01"/>
          <w:rFonts w:ascii="Arial" w:hAnsi="Arial" w:cs="Arial"/>
          <w:b/>
          <w:bCs/>
          <w:color w:val="0070C0"/>
          <w:sz w:val="24"/>
          <w:szCs w:val="24"/>
        </w:rPr>
        <w:t>site</w:t>
      </w:r>
      <w:r w:rsidR="006761C1">
        <w:rPr>
          <w:rStyle w:val="cf01"/>
          <w:rFonts w:ascii="Arial" w:hAnsi="Arial" w:cs="Arial"/>
          <w:b/>
          <w:bCs/>
          <w:color w:val="0070C0"/>
          <w:sz w:val="24"/>
          <w:szCs w:val="24"/>
        </w:rPr>
        <w:t>-</w:t>
      </w:r>
      <w:r w:rsidRPr="00D1043F">
        <w:rPr>
          <w:rStyle w:val="cf01"/>
          <w:rFonts w:ascii="Arial" w:hAnsi="Arial" w:cs="Arial"/>
          <w:b/>
          <w:bCs/>
          <w:color w:val="0070C0"/>
          <w:sz w:val="24"/>
          <w:szCs w:val="24"/>
        </w:rPr>
        <w:t>specific information if available. If no information is available, use standard language.</w:t>
      </w:r>
      <w:r w:rsidR="00C614E1">
        <w:rPr>
          <w:rStyle w:val="cf01"/>
          <w:rFonts w:ascii="Arial" w:hAnsi="Arial" w:cs="Arial"/>
          <w:b/>
          <w:bCs/>
          <w:color w:val="0070C0"/>
          <w:sz w:val="24"/>
          <w:szCs w:val="24"/>
        </w:rPr>
        <w:t xml:space="preserve"> Other military unique </w:t>
      </w:r>
      <w:r w:rsidR="00E66A38">
        <w:rPr>
          <w:rStyle w:val="cf01"/>
          <w:rFonts w:ascii="Arial" w:hAnsi="Arial" w:cs="Arial"/>
          <w:b/>
          <w:bCs/>
          <w:color w:val="0070C0"/>
          <w:sz w:val="24"/>
          <w:szCs w:val="24"/>
        </w:rPr>
        <w:t xml:space="preserve">exposures </w:t>
      </w:r>
      <w:r w:rsidR="007065F5">
        <w:rPr>
          <w:rStyle w:val="cf01"/>
          <w:rFonts w:ascii="Arial" w:hAnsi="Arial" w:cs="Arial"/>
          <w:b/>
          <w:bCs/>
          <w:color w:val="0070C0"/>
          <w:sz w:val="24"/>
          <w:szCs w:val="24"/>
        </w:rPr>
        <w:t xml:space="preserve">can be added to this section when </w:t>
      </w:r>
      <w:r w:rsidR="00A923EF">
        <w:rPr>
          <w:rStyle w:val="cf01"/>
          <w:rFonts w:ascii="Arial" w:hAnsi="Arial" w:cs="Arial"/>
          <w:b/>
          <w:bCs/>
          <w:color w:val="0070C0"/>
          <w:sz w:val="24"/>
          <w:szCs w:val="24"/>
        </w:rPr>
        <w:t>information is available.</w:t>
      </w:r>
      <w:r w:rsidRPr="00D1043F">
        <w:rPr>
          <w:rStyle w:val="cf01"/>
          <w:rFonts w:ascii="Arial" w:hAnsi="Arial" w:cs="Arial"/>
          <w:b/>
          <w:bCs/>
          <w:color w:val="0070C0"/>
          <w:sz w:val="24"/>
          <w:szCs w:val="24"/>
        </w:rPr>
        <w:t>]</w:t>
      </w:r>
    </w:p>
    <w:p w14:paraId="37A5B496" w14:textId="77777777" w:rsidR="00D1043F" w:rsidRPr="00031169" w:rsidRDefault="00D1043F" w:rsidP="0051520C"/>
    <w:p w14:paraId="468C7900" w14:textId="3487E633" w:rsidR="0030395C" w:rsidRPr="00031169" w:rsidRDefault="0030395C" w:rsidP="00580B36">
      <w:pPr>
        <w:pStyle w:val="Heading2"/>
      </w:pPr>
      <w:r>
        <w:t>Chemical</w:t>
      </w:r>
      <w:r w:rsidR="007ED3F4">
        <w:t>,</w:t>
      </w:r>
      <w:r>
        <w:t xml:space="preserve"> Biological, Radiological  </w:t>
      </w:r>
    </w:p>
    <w:p w14:paraId="71E335B8" w14:textId="77777777" w:rsidR="005F76BB" w:rsidRPr="00031169" w:rsidRDefault="005F76BB" w:rsidP="0051520C"/>
    <w:p w14:paraId="5DAE33BF" w14:textId="293748E2" w:rsidR="005F77BD" w:rsidRPr="00CA3B4A" w:rsidRDefault="005F77BD" w:rsidP="33FB9B46">
      <w:pPr>
        <w:pStyle w:val="List"/>
        <w:ind w:left="0" w:firstLine="0"/>
      </w:pPr>
      <w:r>
        <w:t xml:space="preserve">No specific hazard sources were documented in the </w:t>
      </w:r>
      <w:r w:rsidR="001B7B97">
        <w:t>DOEHRS</w:t>
      </w:r>
      <w:r>
        <w:t xml:space="preserve"> from </w:t>
      </w:r>
      <w:r w:rsidRPr="5F94E770">
        <w:rPr>
          <w:highlight w:val="yellow"/>
        </w:rPr>
        <w:t>Day Month Year</w:t>
      </w:r>
      <w:r>
        <w:t xml:space="preserve"> through</w:t>
      </w:r>
      <w:r w:rsidR="740C7909">
        <w:t xml:space="preserve"> </w:t>
      </w:r>
      <w:r w:rsidRPr="5F94E770">
        <w:rPr>
          <w:highlight w:val="yellow"/>
        </w:rPr>
        <w:t>Day Month Year</w:t>
      </w:r>
      <w:r>
        <w:t>.</w:t>
      </w:r>
    </w:p>
    <w:p w14:paraId="31DBFF3D" w14:textId="2A0FF504" w:rsidR="003E27EB" w:rsidRPr="00F06D9E" w:rsidRDefault="003E27EB" w:rsidP="0051520C"/>
    <w:p w14:paraId="5AA60DB6" w14:textId="2089D7A7" w:rsidR="0030395C" w:rsidRPr="00F06D9E" w:rsidRDefault="0030395C" w:rsidP="00580B36">
      <w:pPr>
        <w:pStyle w:val="Heading2"/>
      </w:pPr>
      <w:r w:rsidRPr="00F06D9E">
        <w:t>Depleted Uranium</w:t>
      </w:r>
    </w:p>
    <w:p w14:paraId="004ACF91" w14:textId="77777777" w:rsidR="005F76BB" w:rsidRPr="00F06D9E" w:rsidRDefault="005F76BB" w:rsidP="0051520C"/>
    <w:p w14:paraId="7A585CC0" w14:textId="462BE5BE" w:rsidR="005F76BB" w:rsidRPr="00F06D9E" w:rsidRDefault="005F77BD" w:rsidP="0051520C">
      <w:r>
        <w:t xml:space="preserve">No specific hazard sources were documented in the </w:t>
      </w:r>
      <w:r w:rsidR="001B7B97">
        <w:t>DOEHRS</w:t>
      </w:r>
      <w:r>
        <w:t xml:space="preserve"> from </w:t>
      </w:r>
      <w:r w:rsidRPr="5F94E770">
        <w:rPr>
          <w:highlight w:val="yellow"/>
        </w:rPr>
        <w:t>Day Month Year</w:t>
      </w:r>
      <w:r>
        <w:t xml:space="preserve"> through </w:t>
      </w:r>
      <w:r w:rsidRPr="5F94E770">
        <w:rPr>
          <w:highlight w:val="yellow"/>
        </w:rPr>
        <w:t>Day Month Year</w:t>
      </w:r>
      <w:r>
        <w:t>.</w:t>
      </w:r>
    </w:p>
    <w:p w14:paraId="38389CAD" w14:textId="77777777" w:rsidR="00E35FA1" w:rsidRPr="00F06D9E" w:rsidRDefault="00E35FA1" w:rsidP="0051520C"/>
    <w:p w14:paraId="0E56867A" w14:textId="30EF116B" w:rsidR="0030395C" w:rsidRPr="00F06D9E" w:rsidRDefault="0030395C" w:rsidP="00580B36">
      <w:pPr>
        <w:pStyle w:val="Heading2"/>
      </w:pPr>
      <w:r w:rsidRPr="00F06D9E">
        <w:t>Ionizing Radiation</w:t>
      </w:r>
    </w:p>
    <w:p w14:paraId="433B7A33" w14:textId="77777777" w:rsidR="005F76BB" w:rsidRPr="00F06D9E" w:rsidRDefault="005F76BB" w:rsidP="0051520C"/>
    <w:p w14:paraId="5BCBBDA2" w14:textId="2B079370" w:rsidR="005F76BB" w:rsidRPr="00F06D9E" w:rsidRDefault="005F77BD" w:rsidP="0051520C">
      <w:r>
        <w:t xml:space="preserve">No specific hazard sources were documented in the </w:t>
      </w:r>
      <w:r w:rsidR="001B7B97">
        <w:t>DOEHRS</w:t>
      </w:r>
      <w:r>
        <w:t xml:space="preserve"> from </w:t>
      </w:r>
      <w:r w:rsidRPr="5F94E770">
        <w:rPr>
          <w:highlight w:val="yellow"/>
        </w:rPr>
        <w:t>Day Month Year</w:t>
      </w:r>
      <w:r>
        <w:t xml:space="preserve"> through </w:t>
      </w:r>
      <w:r w:rsidRPr="5F94E770">
        <w:rPr>
          <w:highlight w:val="yellow"/>
        </w:rPr>
        <w:t>Day Month Year</w:t>
      </w:r>
      <w:r>
        <w:t>.</w:t>
      </w:r>
    </w:p>
    <w:p w14:paraId="3236D827" w14:textId="77777777" w:rsidR="00C0305F" w:rsidRPr="00F06D9E" w:rsidRDefault="00C0305F" w:rsidP="0051520C"/>
    <w:p w14:paraId="0FC905C7" w14:textId="6BF850C0" w:rsidR="0030395C" w:rsidRPr="00F06D9E" w:rsidRDefault="0030395C" w:rsidP="00580B36">
      <w:pPr>
        <w:pStyle w:val="Heading2"/>
      </w:pPr>
      <w:commentRangeStart w:id="45"/>
      <w:r w:rsidRPr="00F06D9E">
        <w:t xml:space="preserve">Non-Ionizing </w:t>
      </w:r>
      <w:commentRangeEnd w:id="45"/>
      <w:r w:rsidR="0064290A">
        <w:rPr>
          <w:rStyle w:val="CommentReference"/>
          <w:bCs w:val="0"/>
          <w:iCs w:val="0"/>
        </w:rPr>
        <w:commentReference w:id="45"/>
      </w:r>
      <w:r w:rsidRPr="00F06D9E">
        <w:t>Radiation</w:t>
      </w:r>
    </w:p>
    <w:p w14:paraId="243CEB58" w14:textId="77777777" w:rsidR="005F76BB" w:rsidRPr="00F06D9E" w:rsidRDefault="005F76BB" w:rsidP="0051520C"/>
    <w:p w14:paraId="33F87C5E" w14:textId="638364C8" w:rsidR="009F1082" w:rsidRPr="00F06D9E" w:rsidRDefault="005F77BD" w:rsidP="0051520C">
      <w:r>
        <w:t xml:space="preserve">No specific hazard sources were documented in the </w:t>
      </w:r>
      <w:r w:rsidR="001B7B97">
        <w:t>DOEHRS</w:t>
      </w:r>
      <w:r>
        <w:t xml:space="preserve"> from </w:t>
      </w:r>
      <w:r w:rsidRPr="5F94E770">
        <w:rPr>
          <w:highlight w:val="yellow"/>
        </w:rPr>
        <w:t>Day Month Year</w:t>
      </w:r>
      <w:r>
        <w:t xml:space="preserve"> through </w:t>
      </w:r>
      <w:r w:rsidRPr="5F94E770">
        <w:rPr>
          <w:highlight w:val="yellow"/>
        </w:rPr>
        <w:t>Day Month Year</w:t>
      </w:r>
      <w:r>
        <w:t>.</w:t>
      </w:r>
    </w:p>
    <w:p w14:paraId="375631D7" w14:textId="77777777" w:rsidR="00C107E1" w:rsidRPr="00C107E1" w:rsidRDefault="00C107E1" w:rsidP="0051520C">
      <w:pPr>
        <w:rPr>
          <w:highlight w:val="green"/>
        </w:rPr>
      </w:pPr>
    </w:p>
    <w:p w14:paraId="15E0B3E0" w14:textId="68A86301" w:rsidR="00951C71" w:rsidRPr="00031169" w:rsidRDefault="00951C71" w:rsidP="0010791E">
      <w:pPr>
        <w:pStyle w:val="Heading1"/>
        <w:rPr>
          <w:sz w:val="22"/>
          <w:szCs w:val="22"/>
        </w:rPr>
      </w:pPr>
      <w:commentRangeStart w:id="46"/>
      <w:r w:rsidRPr="00031169">
        <w:t>Endemic</w:t>
      </w:r>
      <w:commentRangeEnd w:id="46"/>
      <w:r w:rsidR="0064290A">
        <w:rPr>
          <w:rStyle w:val="CommentReference"/>
          <w:b w:val="0"/>
          <w:bCs w:val="0"/>
          <w:color w:val="auto"/>
        </w:rPr>
        <w:commentReference w:id="46"/>
      </w:r>
      <w:r w:rsidRPr="00031169">
        <w:t xml:space="preserve"> Diseases</w:t>
      </w:r>
    </w:p>
    <w:p w14:paraId="390BB989" w14:textId="77777777" w:rsidR="00FB2252" w:rsidRPr="00031169" w:rsidRDefault="00FB2252" w:rsidP="002F4DBD"/>
    <w:p w14:paraId="11D9902B" w14:textId="03F5577A" w:rsidR="00FB2252" w:rsidRPr="00031169" w:rsidRDefault="00FB2252" w:rsidP="002F4DBD">
      <w:r>
        <w:t>This document lists the endemic diseases reported in the region</w:t>
      </w:r>
      <w:r w:rsidR="00E35FA1">
        <w:t xml:space="preserve"> found on the Centers for Disease Control and Prevention (CDC) website (</w:t>
      </w:r>
      <w:r w:rsidR="00AB2155">
        <w:t xml:space="preserve">Reference </w:t>
      </w:r>
      <w:r w:rsidR="003125DB" w:rsidRPr="1ABF9D3E">
        <w:rPr>
          <w:highlight w:val="yellow"/>
        </w:rPr>
        <w:t>XX</w:t>
      </w:r>
      <w:r w:rsidR="00E35FA1">
        <w:t>)</w:t>
      </w:r>
      <w:r w:rsidR="00304A02" w:rsidRPr="00304A02">
        <w:t xml:space="preserve"> </w:t>
      </w:r>
      <w:r w:rsidR="00304A02">
        <w:t xml:space="preserve">and Shoreland </w:t>
      </w:r>
      <w:proofErr w:type="spellStart"/>
      <w:r w:rsidR="00304A02">
        <w:t>Travax</w:t>
      </w:r>
      <w:proofErr w:type="spellEnd"/>
      <w:r w:rsidR="00304A02">
        <w:t xml:space="preserve"> </w:t>
      </w:r>
      <w:r w:rsidR="00D333DE">
        <w:t xml:space="preserve">website </w:t>
      </w:r>
      <w:r w:rsidR="00304A02">
        <w:t xml:space="preserve">(Reference </w:t>
      </w:r>
      <w:r w:rsidR="00304A02" w:rsidRPr="000F656F">
        <w:rPr>
          <w:highlight w:val="yellow"/>
        </w:rPr>
        <w:t>XX</w:t>
      </w:r>
      <w:r w:rsidR="00304A02">
        <w:t>)</w:t>
      </w:r>
      <w:r w:rsidR="00E35FA1">
        <w:t xml:space="preserve">. </w:t>
      </w:r>
      <w:commentRangeStart w:id="47"/>
      <w:r w:rsidR="00E35FA1" w:rsidRPr="1ABF9D3E">
        <w:rPr>
          <w:highlight w:val="yellow"/>
        </w:rPr>
        <w:t>CENTCOM</w:t>
      </w:r>
      <w:commentRangeEnd w:id="47"/>
      <w:r>
        <w:rPr>
          <w:rStyle w:val="CommentReference"/>
        </w:rPr>
        <w:commentReference w:id="47"/>
      </w:r>
      <w:r w:rsidR="00E35FA1">
        <w:t xml:space="preserve"> </w:t>
      </w:r>
      <w:r w:rsidR="00F25CC4" w:rsidRPr="1ABF9D3E">
        <w:rPr>
          <w:highlight w:val="yellow"/>
        </w:rPr>
        <w:t xml:space="preserve">Modification (MOD) 13, 14, </w:t>
      </w:r>
      <w:r w:rsidR="00E35FA1" w:rsidRPr="1ABF9D3E">
        <w:rPr>
          <w:highlight w:val="yellow"/>
        </w:rPr>
        <w:t>15</w:t>
      </w:r>
      <w:r w:rsidR="00F25CC4" w:rsidRPr="1ABF9D3E">
        <w:rPr>
          <w:highlight w:val="yellow"/>
        </w:rPr>
        <w:t>,</w:t>
      </w:r>
      <w:r w:rsidR="0CCE8B86" w:rsidRPr="1ABF9D3E">
        <w:rPr>
          <w:highlight w:val="yellow"/>
        </w:rPr>
        <w:t xml:space="preserve"> </w:t>
      </w:r>
      <w:r w:rsidR="00F25CC4" w:rsidRPr="1ABF9D3E">
        <w:rPr>
          <w:highlight w:val="yellow"/>
        </w:rPr>
        <w:t>16</w:t>
      </w:r>
      <w:r w:rsidR="39D7C83A" w:rsidRPr="1ABF9D3E">
        <w:rPr>
          <w:highlight w:val="yellow"/>
        </w:rPr>
        <w:t xml:space="preserve">, and 17 </w:t>
      </w:r>
      <w:r w:rsidR="00E35FA1">
        <w:t>(References</w:t>
      </w:r>
      <w:r w:rsidR="00E35FA1" w:rsidRPr="1ABF9D3E">
        <w:rPr>
          <w:highlight w:val="yellow"/>
        </w:rPr>
        <w:t xml:space="preserve"> </w:t>
      </w:r>
      <w:r w:rsidR="00667531" w:rsidRPr="1ABF9D3E">
        <w:rPr>
          <w:highlight w:val="yellow"/>
        </w:rPr>
        <w:t>XX</w:t>
      </w:r>
      <w:r w:rsidR="00E35FA1" w:rsidRPr="1ABF9D3E">
        <w:rPr>
          <w:highlight w:val="yellow"/>
        </w:rPr>
        <w:t>-</w:t>
      </w:r>
      <w:r w:rsidR="00667531" w:rsidRPr="1ABF9D3E">
        <w:rPr>
          <w:highlight w:val="yellow"/>
        </w:rPr>
        <w:t>XX</w:t>
      </w:r>
      <w:r w:rsidR="00E35FA1" w:rsidRPr="1ABF9D3E">
        <w:rPr>
          <w:highlight w:val="yellow"/>
        </w:rPr>
        <w:t>)</w:t>
      </w:r>
      <w:r w:rsidR="00E35FA1">
        <w:t xml:space="preserve"> lists deployment requirements, to include immunizations and chemoprophylaxis, in effect during the timeframe of this POEMS.</w:t>
      </w:r>
      <w:r w:rsidR="002C6D14">
        <w:t xml:space="preserve"> </w:t>
      </w:r>
      <w:r w:rsidR="00464792" w:rsidRPr="1ABF9D3E">
        <w:rPr>
          <w:highlight w:val="yellow"/>
        </w:rPr>
        <w:t>Risk estimates for various diseases</w:t>
      </w:r>
      <w:r w:rsidR="00736F78" w:rsidRPr="1ABF9D3E">
        <w:rPr>
          <w:highlight w:val="yellow"/>
        </w:rPr>
        <w:t xml:space="preserve"> </w:t>
      </w:r>
      <w:r w:rsidR="00464792" w:rsidRPr="1ABF9D3E">
        <w:rPr>
          <w:highlight w:val="yellow"/>
        </w:rPr>
        <w:t xml:space="preserve">were </w:t>
      </w:r>
      <w:r w:rsidR="00736F78" w:rsidRPr="1ABF9D3E">
        <w:rPr>
          <w:highlight w:val="yellow"/>
        </w:rPr>
        <w:t xml:space="preserve">found under the </w:t>
      </w:r>
      <w:r w:rsidR="00A6741B" w:rsidRPr="1ABF9D3E">
        <w:rPr>
          <w:highlight w:val="yellow"/>
        </w:rPr>
        <w:t>Entomology (</w:t>
      </w:r>
      <w:r w:rsidR="008A5032" w:rsidRPr="1ABF9D3E">
        <w:rPr>
          <w:highlight w:val="yellow"/>
        </w:rPr>
        <w:t>D</w:t>
      </w:r>
      <w:r w:rsidR="00736F78" w:rsidRPr="1ABF9D3E">
        <w:rPr>
          <w:highlight w:val="yellow"/>
        </w:rPr>
        <w:t xml:space="preserve">isease </w:t>
      </w:r>
      <w:r w:rsidR="008A5032" w:rsidRPr="1ABF9D3E">
        <w:rPr>
          <w:highlight w:val="yellow"/>
        </w:rPr>
        <w:t>T</w:t>
      </w:r>
      <w:r w:rsidR="00736F78" w:rsidRPr="1ABF9D3E">
        <w:rPr>
          <w:highlight w:val="yellow"/>
        </w:rPr>
        <w:t>hreats</w:t>
      </w:r>
      <w:r w:rsidR="00A6741B" w:rsidRPr="1ABF9D3E">
        <w:rPr>
          <w:highlight w:val="yellow"/>
        </w:rPr>
        <w:t>)</w:t>
      </w:r>
      <w:r w:rsidR="00736F78" w:rsidRPr="1ABF9D3E">
        <w:rPr>
          <w:highlight w:val="yellow"/>
        </w:rPr>
        <w:t xml:space="preserve"> section in the OEHSA</w:t>
      </w:r>
      <w:r w:rsidR="00667531" w:rsidRPr="1ABF9D3E">
        <w:rPr>
          <w:highlight w:val="yellow"/>
        </w:rPr>
        <w:t>(s)</w:t>
      </w:r>
      <w:r w:rsidR="00FD3BBB" w:rsidRPr="1ABF9D3E">
        <w:rPr>
          <w:highlight w:val="yellow"/>
        </w:rPr>
        <w:t xml:space="preserve"> </w:t>
      </w:r>
      <w:r w:rsidR="00A6741B" w:rsidRPr="1ABF9D3E">
        <w:rPr>
          <w:highlight w:val="yellow"/>
        </w:rPr>
        <w:t>and</w:t>
      </w:r>
      <w:r w:rsidR="00736F78" w:rsidRPr="1ABF9D3E">
        <w:rPr>
          <w:highlight w:val="yellow"/>
        </w:rPr>
        <w:t xml:space="preserve"> </w:t>
      </w:r>
      <w:r w:rsidR="00464792" w:rsidRPr="1ABF9D3E">
        <w:rPr>
          <w:highlight w:val="yellow"/>
        </w:rPr>
        <w:t xml:space="preserve">are </w:t>
      </w:r>
      <w:r w:rsidR="00736F78" w:rsidRPr="1ABF9D3E">
        <w:rPr>
          <w:highlight w:val="yellow"/>
        </w:rPr>
        <w:t xml:space="preserve">summarized in Table </w:t>
      </w:r>
      <w:r w:rsidR="008604F3">
        <w:rPr>
          <w:highlight w:val="yellow"/>
        </w:rPr>
        <w:t>4</w:t>
      </w:r>
      <w:r w:rsidR="002C6D14" w:rsidRPr="1ABF9D3E">
        <w:rPr>
          <w:highlight w:val="yellow"/>
        </w:rPr>
        <w:t xml:space="preserve">. </w:t>
      </w:r>
      <w:r w:rsidR="00841B3D" w:rsidRPr="1ABF9D3E">
        <w:rPr>
          <w:highlight w:val="yellow"/>
        </w:rPr>
        <w:t>The source(s) and method(s) used to generate the risk estimates were</w:t>
      </w:r>
      <w:r w:rsidR="00C107E1" w:rsidRPr="1ABF9D3E">
        <w:rPr>
          <w:highlight w:val="yellow"/>
        </w:rPr>
        <w:t xml:space="preserve"> not </w:t>
      </w:r>
      <w:commentRangeStart w:id="48"/>
      <w:r w:rsidR="00C107E1" w:rsidRPr="1ABF9D3E">
        <w:rPr>
          <w:highlight w:val="yellow"/>
        </w:rPr>
        <w:t>specified</w:t>
      </w:r>
      <w:commentRangeEnd w:id="48"/>
      <w:r>
        <w:rPr>
          <w:rStyle w:val="CommentReference"/>
        </w:rPr>
        <w:commentReference w:id="48"/>
      </w:r>
      <w:r w:rsidR="00C107E1" w:rsidRPr="1ABF9D3E">
        <w:rPr>
          <w:highlight w:val="yellow"/>
        </w:rPr>
        <w:t xml:space="preserve"> in the OEHSA</w:t>
      </w:r>
      <w:r w:rsidR="00667531" w:rsidRPr="1ABF9D3E">
        <w:rPr>
          <w:highlight w:val="yellow"/>
        </w:rPr>
        <w:t>(s)</w:t>
      </w:r>
      <w:r w:rsidR="00C107E1" w:rsidRPr="1ABF9D3E">
        <w:rPr>
          <w:highlight w:val="yellow"/>
        </w:rPr>
        <w:t xml:space="preserve"> </w:t>
      </w:r>
      <w:r w:rsidR="00251F6C" w:rsidRPr="1ABF9D3E">
        <w:rPr>
          <w:highlight w:val="yellow"/>
        </w:rPr>
        <w:t>for</w:t>
      </w:r>
      <w:r w:rsidR="00251F6C">
        <w:t xml:space="preserve"> </w:t>
      </w:r>
      <w:r w:rsidR="00251F6C" w:rsidRPr="1ABF9D3E">
        <w:rPr>
          <w:highlight w:val="green"/>
        </w:rPr>
        <w:t>Camp XXX</w:t>
      </w:r>
      <w:r w:rsidR="00251F6C">
        <w:t xml:space="preserve"> </w:t>
      </w:r>
      <w:r w:rsidR="00C107E1">
        <w:t>(</w:t>
      </w:r>
      <w:r w:rsidR="00AB2155">
        <w:t xml:space="preserve">Reference </w:t>
      </w:r>
      <w:r w:rsidR="00667531" w:rsidRPr="1ABF9D3E">
        <w:rPr>
          <w:highlight w:val="yellow"/>
        </w:rPr>
        <w:t>XX</w:t>
      </w:r>
      <w:r w:rsidR="00C107E1">
        <w:t>).</w:t>
      </w:r>
    </w:p>
    <w:p w14:paraId="14D8E04C" w14:textId="77777777" w:rsidR="00736F78" w:rsidRPr="00031169" w:rsidRDefault="00736F78" w:rsidP="002F4DBD"/>
    <w:p w14:paraId="4D74B1FC" w14:textId="00B03168" w:rsidR="00736F78" w:rsidRPr="00031169" w:rsidRDefault="00736F78" w:rsidP="002F4DBD">
      <w:r w:rsidRPr="00031169">
        <w:t xml:space="preserve">Table </w:t>
      </w:r>
      <w:r w:rsidR="008604F3">
        <w:t>4</w:t>
      </w:r>
      <w:r w:rsidR="002C6D14" w:rsidRPr="00031169">
        <w:t xml:space="preserve">. </w:t>
      </w:r>
      <w:r w:rsidRPr="00031169">
        <w:t xml:space="preserve">Disease Threat Assessment </w:t>
      </w:r>
      <w:r w:rsidR="00667531">
        <w:t>from</w:t>
      </w:r>
      <w:r w:rsidR="00323881">
        <w:t xml:space="preserve"> </w:t>
      </w:r>
      <w:r w:rsidR="00323881" w:rsidRPr="00323881">
        <w:rPr>
          <w:highlight w:val="green"/>
        </w:rPr>
        <w:t>Camp XXX</w:t>
      </w:r>
      <w:r w:rsidRPr="00031169">
        <w:t xml:space="preserve"> OEHSA</w:t>
      </w:r>
      <w:r w:rsidR="00667531">
        <w:t>(</w:t>
      </w:r>
      <w:r w:rsidR="00667531" w:rsidRPr="003125DB">
        <w:rPr>
          <w:highlight w:val="yellow"/>
        </w:rPr>
        <w:t>s</w:t>
      </w:r>
      <w:r w:rsidR="00667531">
        <w:t>)</w:t>
      </w:r>
    </w:p>
    <w:tbl>
      <w:tblPr>
        <w:tblStyle w:val="TableGrid"/>
        <w:tblW w:w="0" w:type="auto"/>
        <w:tblLook w:val="04A0" w:firstRow="1" w:lastRow="0" w:firstColumn="1" w:lastColumn="0" w:noHBand="0" w:noVBand="1"/>
      </w:tblPr>
      <w:tblGrid>
        <w:gridCol w:w="5845"/>
        <w:gridCol w:w="2340"/>
      </w:tblGrid>
      <w:tr w:rsidR="00363F1C" w:rsidRPr="00031169" w14:paraId="2F541593" w14:textId="77777777" w:rsidTr="00600EE9">
        <w:trPr>
          <w:tblHeader/>
        </w:trPr>
        <w:tc>
          <w:tcPr>
            <w:tcW w:w="5845" w:type="dxa"/>
            <w:shd w:val="clear" w:color="auto" w:fill="D9D9D9" w:themeFill="background1" w:themeFillShade="D9"/>
          </w:tcPr>
          <w:p w14:paraId="10DCF7CD" w14:textId="77777777" w:rsidR="00363F1C" w:rsidRPr="00031169" w:rsidRDefault="00363F1C" w:rsidP="0051520C">
            <w:pPr>
              <w:pStyle w:val="BodyTextFirstIndent"/>
            </w:pPr>
            <w:r w:rsidRPr="00031169">
              <w:t>Disease Threat</w:t>
            </w:r>
          </w:p>
        </w:tc>
        <w:tc>
          <w:tcPr>
            <w:tcW w:w="2340" w:type="dxa"/>
            <w:shd w:val="clear" w:color="auto" w:fill="D9D9D9" w:themeFill="background1" w:themeFillShade="D9"/>
          </w:tcPr>
          <w:p w14:paraId="63903BD4" w14:textId="77777777" w:rsidR="00363F1C" w:rsidRPr="00031169" w:rsidRDefault="00363F1C" w:rsidP="0051520C">
            <w:pPr>
              <w:pStyle w:val="BodyTextFirstIndent"/>
            </w:pPr>
            <w:r w:rsidRPr="00031169">
              <w:t>Risk Estimate</w:t>
            </w:r>
          </w:p>
        </w:tc>
      </w:tr>
      <w:tr w:rsidR="00363F1C" w:rsidRPr="00031169" w14:paraId="0F588844" w14:textId="77777777" w:rsidTr="00600EE9">
        <w:tc>
          <w:tcPr>
            <w:tcW w:w="5845" w:type="dxa"/>
          </w:tcPr>
          <w:p w14:paraId="47CC6EE9" w14:textId="30B205AC" w:rsidR="00363F1C" w:rsidRPr="00501C18" w:rsidRDefault="00363F1C" w:rsidP="0051520C">
            <w:pPr>
              <w:rPr>
                <w:highlight w:val="yellow"/>
              </w:rPr>
            </w:pPr>
            <w:r w:rsidRPr="00501C18">
              <w:rPr>
                <w:highlight w:val="yellow"/>
              </w:rPr>
              <w:t>Crimean-Congo Hemorrhagic Fever</w:t>
            </w:r>
          </w:p>
        </w:tc>
        <w:tc>
          <w:tcPr>
            <w:tcW w:w="2340" w:type="dxa"/>
          </w:tcPr>
          <w:p w14:paraId="711D627F" w14:textId="53B9BB04" w:rsidR="00363F1C" w:rsidRPr="00501C18" w:rsidRDefault="00363F1C" w:rsidP="0051520C">
            <w:pPr>
              <w:pStyle w:val="BodyTextFirstIndent"/>
              <w:rPr>
                <w:highlight w:val="yellow"/>
              </w:rPr>
            </w:pPr>
            <w:r>
              <w:rPr>
                <w:highlight w:val="yellow"/>
              </w:rPr>
              <w:t>Moderate</w:t>
            </w:r>
          </w:p>
        </w:tc>
      </w:tr>
      <w:tr w:rsidR="00363F1C" w:rsidRPr="00031169" w14:paraId="2B92AED8" w14:textId="77777777" w:rsidTr="00600EE9">
        <w:tc>
          <w:tcPr>
            <w:tcW w:w="5845" w:type="dxa"/>
          </w:tcPr>
          <w:p w14:paraId="7FFAB7FC" w14:textId="73D768AB" w:rsidR="00363F1C" w:rsidRPr="00501C18" w:rsidRDefault="00363F1C" w:rsidP="0051520C">
            <w:pPr>
              <w:rPr>
                <w:highlight w:val="yellow"/>
              </w:rPr>
            </w:pPr>
            <w:r w:rsidRPr="00501C18">
              <w:rPr>
                <w:highlight w:val="yellow"/>
              </w:rPr>
              <w:t>Sand Fly Fever</w:t>
            </w:r>
          </w:p>
        </w:tc>
        <w:tc>
          <w:tcPr>
            <w:tcW w:w="2340" w:type="dxa"/>
          </w:tcPr>
          <w:p w14:paraId="5ACAA7C2" w14:textId="14FF4119" w:rsidR="00363F1C" w:rsidRPr="00501C18" w:rsidRDefault="00363F1C" w:rsidP="0051520C">
            <w:pPr>
              <w:pStyle w:val="BodyTextFirstIndent"/>
              <w:rPr>
                <w:highlight w:val="yellow"/>
              </w:rPr>
            </w:pPr>
            <w:r w:rsidRPr="00501C18">
              <w:rPr>
                <w:highlight w:val="yellow"/>
              </w:rPr>
              <w:t>Low</w:t>
            </w:r>
          </w:p>
        </w:tc>
      </w:tr>
      <w:tr w:rsidR="00363F1C" w:rsidRPr="00031169" w14:paraId="46ABB025" w14:textId="77777777" w:rsidTr="00600EE9">
        <w:tc>
          <w:tcPr>
            <w:tcW w:w="5845" w:type="dxa"/>
          </w:tcPr>
          <w:p w14:paraId="06C5759D" w14:textId="2680A8D7" w:rsidR="00363F1C" w:rsidRPr="00501C18" w:rsidRDefault="00363F1C" w:rsidP="0051520C">
            <w:pPr>
              <w:rPr>
                <w:highlight w:val="yellow"/>
              </w:rPr>
            </w:pPr>
            <w:r w:rsidRPr="00501C18">
              <w:rPr>
                <w:highlight w:val="yellow"/>
              </w:rPr>
              <w:t>Typhus (Murine)</w:t>
            </w:r>
          </w:p>
        </w:tc>
        <w:tc>
          <w:tcPr>
            <w:tcW w:w="2340" w:type="dxa"/>
          </w:tcPr>
          <w:p w14:paraId="4E69AA00" w14:textId="39453DB3" w:rsidR="00363F1C" w:rsidRPr="00501C18" w:rsidRDefault="00363F1C" w:rsidP="0051520C">
            <w:pPr>
              <w:pStyle w:val="BodyTextFirstIndent"/>
              <w:rPr>
                <w:highlight w:val="yellow"/>
              </w:rPr>
            </w:pPr>
            <w:r w:rsidRPr="00501C18">
              <w:rPr>
                <w:highlight w:val="yellow"/>
              </w:rPr>
              <w:t>Low</w:t>
            </w:r>
          </w:p>
        </w:tc>
      </w:tr>
      <w:tr w:rsidR="00363F1C" w:rsidRPr="00031169" w14:paraId="534FB85C" w14:textId="77777777" w:rsidTr="00600EE9">
        <w:tc>
          <w:tcPr>
            <w:tcW w:w="5845" w:type="dxa"/>
          </w:tcPr>
          <w:p w14:paraId="0E928C65" w14:textId="3CC44553" w:rsidR="00363F1C" w:rsidRPr="00501C18" w:rsidRDefault="00363F1C" w:rsidP="0051520C">
            <w:pPr>
              <w:rPr>
                <w:highlight w:val="yellow"/>
              </w:rPr>
            </w:pPr>
            <w:r w:rsidRPr="00501C18">
              <w:rPr>
                <w:highlight w:val="yellow"/>
              </w:rPr>
              <w:t>Leishmaniasis (Cutaneous)</w:t>
            </w:r>
          </w:p>
        </w:tc>
        <w:tc>
          <w:tcPr>
            <w:tcW w:w="2340" w:type="dxa"/>
          </w:tcPr>
          <w:p w14:paraId="5D9C615B" w14:textId="4CA8E05F" w:rsidR="00363F1C" w:rsidRPr="00501C18" w:rsidRDefault="00363F1C" w:rsidP="0051520C">
            <w:pPr>
              <w:pStyle w:val="BodyTextFirstIndent"/>
              <w:rPr>
                <w:highlight w:val="yellow"/>
              </w:rPr>
            </w:pPr>
            <w:r w:rsidRPr="00501C18">
              <w:rPr>
                <w:highlight w:val="yellow"/>
              </w:rPr>
              <w:t>Low</w:t>
            </w:r>
          </w:p>
        </w:tc>
      </w:tr>
      <w:tr w:rsidR="00363F1C" w14:paraId="0229C6DB" w14:textId="77777777" w:rsidTr="00600EE9">
        <w:tc>
          <w:tcPr>
            <w:tcW w:w="5845" w:type="dxa"/>
          </w:tcPr>
          <w:p w14:paraId="346090EB" w14:textId="072DCF3C" w:rsidR="00363F1C" w:rsidRPr="00501C18" w:rsidRDefault="00363F1C" w:rsidP="0051520C">
            <w:pPr>
              <w:rPr>
                <w:highlight w:val="yellow"/>
              </w:rPr>
            </w:pPr>
            <w:r w:rsidRPr="00501C18">
              <w:rPr>
                <w:highlight w:val="yellow"/>
              </w:rPr>
              <w:t>West Nile Fever</w:t>
            </w:r>
          </w:p>
        </w:tc>
        <w:tc>
          <w:tcPr>
            <w:tcW w:w="2340" w:type="dxa"/>
          </w:tcPr>
          <w:p w14:paraId="31BB86A9" w14:textId="4B5848B7" w:rsidR="00363F1C" w:rsidRPr="00501C18" w:rsidRDefault="00363F1C" w:rsidP="0051520C">
            <w:pPr>
              <w:pStyle w:val="BodyTextFirstIndent"/>
              <w:rPr>
                <w:highlight w:val="yellow"/>
              </w:rPr>
            </w:pPr>
            <w:r w:rsidRPr="00501C18">
              <w:rPr>
                <w:highlight w:val="yellow"/>
              </w:rPr>
              <w:t>Low</w:t>
            </w:r>
          </w:p>
        </w:tc>
      </w:tr>
    </w:tbl>
    <w:p w14:paraId="627C7B77" w14:textId="77777777" w:rsidR="00FB2252" w:rsidRPr="00F83550" w:rsidRDefault="00FB2252" w:rsidP="0051520C"/>
    <w:p w14:paraId="5FB2240C" w14:textId="1C246111" w:rsidR="00951C71" w:rsidRPr="00A111A5" w:rsidRDefault="00951C71" w:rsidP="00580B36">
      <w:pPr>
        <w:pStyle w:val="Heading2"/>
      </w:pPr>
      <w:r w:rsidRPr="00A111A5">
        <w:t>Foodborne and Waterborne Diseases</w:t>
      </w:r>
    </w:p>
    <w:p w14:paraId="4608AE53" w14:textId="77777777" w:rsidR="006A0776" w:rsidRDefault="006A0776" w:rsidP="0051520C"/>
    <w:p w14:paraId="022022B2" w14:textId="2B5420A8" w:rsidR="00D1043F" w:rsidRPr="00D1043F" w:rsidRDefault="00D1043F" w:rsidP="0051520C">
      <w:pPr>
        <w:rPr>
          <w:b/>
          <w:bCs/>
          <w:color w:val="0070C0"/>
        </w:rPr>
      </w:pPr>
      <w:r w:rsidRPr="00D1043F">
        <w:rPr>
          <w:b/>
          <w:bCs/>
          <w:color w:val="0070C0"/>
        </w:rPr>
        <w:t>[Update the Endemic Disease sections to make base camp/country specific.]</w:t>
      </w:r>
    </w:p>
    <w:p w14:paraId="120073C0" w14:textId="77777777" w:rsidR="00D1043F" w:rsidRPr="00F83550" w:rsidRDefault="00D1043F" w:rsidP="0051520C"/>
    <w:p w14:paraId="7D0080C2" w14:textId="4E2C7F81" w:rsidR="00C81CF3" w:rsidRPr="00DE0BAA" w:rsidRDefault="00254410" w:rsidP="00DE0BAA">
      <w:bookmarkStart w:id="49" w:name="_Hlk137450935"/>
      <w:r>
        <w:lastRenderedPageBreak/>
        <w:t>F</w:t>
      </w:r>
      <w:r w:rsidR="00C81CF3">
        <w:t>oo</w:t>
      </w:r>
      <w:r w:rsidR="0079131F">
        <w:t>dborne</w:t>
      </w:r>
      <w:r w:rsidR="00C81CF3">
        <w:t xml:space="preserve"> and waterborne diseases and endemic diseases may occur</w:t>
      </w:r>
      <w:r w:rsidR="00B1731B">
        <w:t xml:space="preserve"> in deployed personnel</w:t>
      </w:r>
      <w:r w:rsidR="00C81CF3">
        <w:t xml:space="preserve"> especially when good preventive medicine measures are not practiced. </w:t>
      </w:r>
      <w:r w:rsidR="0027798D">
        <w:t>F</w:t>
      </w:r>
      <w:r w:rsidR="00C81CF3">
        <w:t>ood and waterborne disease</w:t>
      </w:r>
      <w:r w:rsidR="0027798D">
        <w:t>s</w:t>
      </w:r>
      <w:r w:rsidR="00C81CF3">
        <w:t xml:space="preserve"> </w:t>
      </w:r>
      <w:r w:rsidR="0027798D">
        <w:t xml:space="preserve">(e.g., </w:t>
      </w:r>
      <w:r w:rsidR="00C81CF3">
        <w:t xml:space="preserve">bacterial diarrhea, </w:t>
      </w:r>
      <w:r w:rsidR="00B1731B">
        <w:t xml:space="preserve">viral </w:t>
      </w:r>
      <w:r w:rsidR="00C81CF3">
        <w:t>hepatitis A, protozoal diarrhea</w:t>
      </w:r>
      <w:r w:rsidR="0027798D">
        <w:t>)</w:t>
      </w:r>
      <w:r w:rsidR="00C81CF3">
        <w:t xml:space="preserve"> may arise if contaminated local food and </w:t>
      </w:r>
      <w:r w:rsidR="00B1731B">
        <w:t xml:space="preserve">unapproved local </w:t>
      </w:r>
      <w:r w:rsidR="00C81CF3">
        <w:t>water</w:t>
      </w:r>
      <w:r w:rsidR="0027798D">
        <w:t xml:space="preserve"> are ingested</w:t>
      </w:r>
      <w:r w:rsidR="00C81CF3">
        <w:t>. The health effects can temporarily incapacitate personnel (e.g., diarrhea) or result in a prolonged illness (e.g., hepatitis A, typhoid). Mitigation measures include immunization (</w:t>
      </w:r>
      <w:r w:rsidR="00B1731B">
        <w:t xml:space="preserve">e.g., </w:t>
      </w:r>
      <w:r w:rsidR="00C81CF3">
        <w:t>hepatitis A and typhoid vaccines) and only drinking from approved water sources</w:t>
      </w:r>
      <w:bookmarkEnd w:id="49"/>
      <w:r w:rsidR="00C81CF3">
        <w:t>.</w:t>
      </w:r>
    </w:p>
    <w:p w14:paraId="34DF3496" w14:textId="77777777" w:rsidR="00C81CF3" w:rsidRDefault="00C81CF3" w:rsidP="0051520C"/>
    <w:p w14:paraId="7D92DBDD" w14:textId="6FFD980E" w:rsidR="00D962B4" w:rsidRDefault="0027798D" w:rsidP="0051520C">
      <w:r>
        <w:t>F</w:t>
      </w:r>
      <w:r w:rsidR="00D962B4" w:rsidRPr="00031169">
        <w:t xml:space="preserve">oodborne and waterborne diseases in the area are transmitted through the consumption of </w:t>
      </w:r>
      <w:r w:rsidR="00B1731B">
        <w:t xml:space="preserve">contaminated </w:t>
      </w:r>
      <w:r w:rsidR="00D962B4" w:rsidRPr="00031169">
        <w:t xml:space="preserve">local food and water. Local unapproved food and water sources (including ice) are </w:t>
      </w:r>
      <w:r w:rsidR="00B1731B">
        <w:t xml:space="preserve">typically </w:t>
      </w:r>
      <w:r w:rsidR="00D962B4" w:rsidRPr="00031169">
        <w:t xml:space="preserve">heavily contaminated with pathogenic bacteria, parasites, and viruses to which most U.S. Service </w:t>
      </w:r>
      <w:r w:rsidR="006761C1">
        <w:t>m</w:t>
      </w:r>
      <w:r w:rsidR="00D962B4" w:rsidRPr="00031169">
        <w:t xml:space="preserve">embers have little or no natural immunity. Risks from food/waterborne diseases may have been reduced with preventive medicine controls and mitigation, which includes vaccinations, </w:t>
      </w:r>
      <w:r w:rsidR="00D962B4" w:rsidRPr="00031169">
        <w:rPr>
          <w:bCs/>
        </w:rPr>
        <w:t xml:space="preserve">frequent hand washing </w:t>
      </w:r>
      <w:r w:rsidR="00B1731B">
        <w:rPr>
          <w:bCs/>
        </w:rPr>
        <w:t xml:space="preserve">measures, </w:t>
      </w:r>
      <w:r w:rsidR="00D962B4" w:rsidRPr="00031169">
        <w:rPr>
          <w:bCs/>
        </w:rPr>
        <w:t xml:space="preserve">general </w:t>
      </w:r>
      <w:r w:rsidR="00B1731B">
        <w:rPr>
          <w:bCs/>
        </w:rPr>
        <w:t xml:space="preserve">good </w:t>
      </w:r>
      <w:r w:rsidR="00D962B4" w:rsidRPr="00031169">
        <w:rPr>
          <w:bCs/>
        </w:rPr>
        <w:t xml:space="preserve">sanitation practices, and consuming food and water </w:t>
      </w:r>
      <w:r w:rsidR="00B1731B">
        <w:rPr>
          <w:bCs/>
        </w:rPr>
        <w:t xml:space="preserve">exclusively </w:t>
      </w:r>
      <w:r w:rsidR="00D962B4" w:rsidRPr="00031169">
        <w:rPr>
          <w:bCs/>
        </w:rPr>
        <w:t>from approved sources</w:t>
      </w:r>
      <w:r w:rsidR="00D962B4" w:rsidRPr="00031169">
        <w:t xml:space="preserve"> </w:t>
      </w:r>
      <w:r w:rsidR="006761C1">
        <w:t>according to</w:t>
      </w:r>
      <w:r w:rsidR="00D962B4" w:rsidRPr="00031169">
        <w:t xml:space="preserve"> standing </w:t>
      </w:r>
      <w:r w:rsidR="00D962B4" w:rsidRPr="00667531">
        <w:rPr>
          <w:highlight w:val="yellow"/>
        </w:rPr>
        <w:t>CENTCOM</w:t>
      </w:r>
      <w:r w:rsidR="00D962B4" w:rsidRPr="00031169">
        <w:t xml:space="preserve"> policy.</w:t>
      </w:r>
      <w:r w:rsidR="006B48F5" w:rsidRPr="006B48F5">
        <w:t xml:space="preserve"> </w:t>
      </w:r>
      <w:r w:rsidR="00080473">
        <w:t>H</w:t>
      </w:r>
      <w:r w:rsidR="006B48F5" w:rsidRPr="006B48F5">
        <w:t xml:space="preserve">ost nation public health disease surveillance </w:t>
      </w:r>
      <w:r w:rsidR="006B48F5">
        <w:t xml:space="preserve">and </w:t>
      </w:r>
      <w:r w:rsidR="006B48F5" w:rsidRPr="006B48F5">
        <w:t xml:space="preserve">public health infrastructure are </w:t>
      </w:r>
      <w:r w:rsidR="00B1731B">
        <w:t xml:space="preserve">either ineffective or </w:t>
      </w:r>
      <w:r w:rsidR="006B48F5">
        <w:t xml:space="preserve">absent </w:t>
      </w:r>
      <w:r w:rsidR="00D1043F" w:rsidRPr="00D1043F">
        <w:rPr>
          <w:color w:val="0070C0"/>
        </w:rPr>
        <w:t>[confirm for your location]</w:t>
      </w:r>
      <w:r w:rsidR="00D1043F">
        <w:t xml:space="preserve"> </w:t>
      </w:r>
      <w:r w:rsidR="006B48F5" w:rsidRPr="006B48F5">
        <w:t>in the country</w:t>
      </w:r>
      <w:r w:rsidR="006761C1">
        <w:t>,</w:t>
      </w:r>
      <w:r w:rsidR="00B1731B">
        <w:t xml:space="preserve"> which may make disease threats more difficult to predict and to consequently provide effective public health countermeasures</w:t>
      </w:r>
      <w:r w:rsidR="006B48F5" w:rsidRPr="006B48F5">
        <w:t>.</w:t>
      </w:r>
    </w:p>
    <w:p w14:paraId="365C794E" w14:textId="032A1459" w:rsidR="002A1B92" w:rsidRDefault="002A1B92" w:rsidP="0051520C"/>
    <w:p w14:paraId="34A6CDF7" w14:textId="253BB4A6" w:rsidR="006A0776" w:rsidRPr="00031169" w:rsidRDefault="006A0776" w:rsidP="00FD4769">
      <w:pPr>
        <w:pStyle w:val="Heading3"/>
      </w:pPr>
      <w:r w:rsidRPr="00E0746C">
        <w:rPr>
          <w:highlight w:val="yellow"/>
        </w:rPr>
        <w:t xml:space="preserve">Diarrheal </w:t>
      </w:r>
      <w:r w:rsidR="000D09F5" w:rsidRPr="00E0746C">
        <w:rPr>
          <w:highlight w:val="yellow"/>
        </w:rPr>
        <w:t xml:space="preserve">Diseases </w:t>
      </w:r>
      <w:r w:rsidRPr="00E0746C">
        <w:rPr>
          <w:highlight w:val="yellow"/>
        </w:rPr>
        <w:t>(</w:t>
      </w:r>
      <w:r w:rsidR="006A4D90">
        <w:rPr>
          <w:highlight w:val="yellow"/>
        </w:rPr>
        <w:t>bacterial, viral, parasitic</w:t>
      </w:r>
      <w:r w:rsidRPr="00E0746C">
        <w:rPr>
          <w:highlight w:val="yellow"/>
        </w:rPr>
        <w:t>)</w:t>
      </w:r>
    </w:p>
    <w:p w14:paraId="7E383E4A" w14:textId="77777777" w:rsidR="006A0776" w:rsidRPr="00031169" w:rsidRDefault="006A0776" w:rsidP="002F0040"/>
    <w:p w14:paraId="4EBA9A9D" w14:textId="78CF365B" w:rsidR="006A0776" w:rsidRPr="00031169" w:rsidRDefault="006A0776" w:rsidP="002F0040">
      <w:bookmarkStart w:id="50" w:name="_Hlk137450959"/>
      <w:r w:rsidRPr="00031169">
        <w:t xml:space="preserve">Diarrheal diseases are expected to temporarily incapacitate a very high percentage of personnel within days if </w:t>
      </w:r>
      <w:r w:rsidR="002E75A8">
        <w:t xml:space="preserve">contaminated </w:t>
      </w:r>
      <w:r w:rsidRPr="00031169">
        <w:t xml:space="preserve">local food, water, or ice </w:t>
      </w:r>
      <w:r w:rsidR="003F5046">
        <w:t>are</w:t>
      </w:r>
      <w:r w:rsidR="003F5046" w:rsidRPr="00031169">
        <w:t xml:space="preserve"> </w:t>
      </w:r>
      <w:r w:rsidRPr="00031169">
        <w:t>consumed</w:t>
      </w:r>
      <w:r w:rsidR="002C6D14" w:rsidRPr="00031169">
        <w:t xml:space="preserve">. </w:t>
      </w:r>
      <w:r w:rsidRPr="00031169">
        <w:t xml:space="preserve">Field conditions (including lack of hand washing and primitive sanitation) may facilitate person-to-person </w:t>
      </w:r>
      <w:r w:rsidR="002E75A8">
        <w:t xml:space="preserve">infectious disease </w:t>
      </w:r>
      <w:r w:rsidRPr="00031169">
        <w:t>spread and epidemics</w:t>
      </w:r>
      <w:r w:rsidR="002C6D14" w:rsidRPr="00031169">
        <w:t xml:space="preserve">. </w:t>
      </w:r>
      <w:r w:rsidRPr="00031169">
        <w:t>Typically</w:t>
      </w:r>
      <w:r w:rsidR="00CC4F49">
        <w:t>,</w:t>
      </w:r>
      <w:r w:rsidRPr="00031169">
        <w:t xml:space="preserve"> diarrheal diseases are mild disease</w:t>
      </w:r>
      <w:r w:rsidR="002E75A8">
        <w:t>s</w:t>
      </w:r>
      <w:r w:rsidRPr="00031169">
        <w:t xml:space="preserve"> treated in an outpatient setting with recovery and return to duty in less than 72 hours</w:t>
      </w:r>
      <w:r w:rsidR="00EB716F">
        <w:t xml:space="preserve">. </w:t>
      </w:r>
      <w:r w:rsidR="001D114A">
        <w:t xml:space="preserve">Milder </w:t>
      </w:r>
      <w:r w:rsidR="00EB716F">
        <w:t>traveler’s diarrhea is common amongst travelers and is associated with loose stools and abdominal cramps. It may require treatment that may involve oral or intravenous</w:t>
      </w:r>
      <w:r w:rsidR="007105F2">
        <w:t xml:space="preserve"> (IV)</w:t>
      </w:r>
      <w:r w:rsidR="00EB716F">
        <w:t xml:space="preserve"> re</w:t>
      </w:r>
      <w:r w:rsidR="002E75A8">
        <w:t xml:space="preserve">hydration </w:t>
      </w:r>
      <w:r w:rsidR="00EB716F">
        <w:t xml:space="preserve">and sometimes oral or IV </w:t>
      </w:r>
      <w:r w:rsidR="002E75A8">
        <w:t>electrolyte</w:t>
      </w:r>
      <w:r w:rsidR="00EB716F">
        <w:t xml:space="preserve"> solution</w:t>
      </w:r>
      <w:r w:rsidR="002C6D14" w:rsidRPr="00031169">
        <w:t xml:space="preserve">. </w:t>
      </w:r>
      <w:r w:rsidR="00EB716F">
        <w:t>It is most frequently due to a particular bacteri</w:t>
      </w:r>
      <w:r w:rsidR="007105F2">
        <w:t>um</w:t>
      </w:r>
      <w:r w:rsidR="006551F4">
        <w:t xml:space="preserve"> (</w:t>
      </w:r>
      <w:r w:rsidR="002448F1">
        <w:t xml:space="preserve">enterotoxigenic </w:t>
      </w:r>
      <w:r w:rsidR="00EB716F" w:rsidRPr="00F46ECF">
        <w:rPr>
          <w:i/>
          <w:iCs/>
        </w:rPr>
        <w:t>Escherichia coli</w:t>
      </w:r>
      <w:r w:rsidR="006551F4">
        <w:rPr>
          <w:i/>
          <w:iCs/>
        </w:rPr>
        <w:t>)</w:t>
      </w:r>
      <w:r w:rsidR="00EB716F">
        <w:rPr>
          <w:i/>
          <w:iCs/>
        </w:rPr>
        <w:t>. It may also be due to certain viruses</w:t>
      </w:r>
      <w:r w:rsidR="006551F4">
        <w:rPr>
          <w:i/>
          <w:iCs/>
        </w:rPr>
        <w:t xml:space="preserve"> (</w:t>
      </w:r>
      <w:r w:rsidR="00EB716F">
        <w:rPr>
          <w:i/>
          <w:iCs/>
        </w:rPr>
        <w:t xml:space="preserve">including </w:t>
      </w:r>
      <w:r w:rsidR="006551F4">
        <w:rPr>
          <w:i/>
          <w:iCs/>
        </w:rPr>
        <w:t xml:space="preserve">Rotavirus and Enteroviruses) and parasites (notably Giardia lamblia). </w:t>
      </w:r>
      <w:r w:rsidR="00A948DF">
        <w:t>A m</w:t>
      </w:r>
      <w:r w:rsidR="003E1039">
        <w:t>ore serious</w:t>
      </w:r>
      <w:r w:rsidR="00FB49B8">
        <w:t xml:space="preserve"> diarrheal disease is dysentery that results from certain parasitic or bacterial infections and is characterized as a bloody diarrhea</w:t>
      </w:r>
      <w:r w:rsidR="006551F4">
        <w:t xml:space="preserve"> often associated with a fever</w:t>
      </w:r>
      <w:r w:rsidR="00FB49B8">
        <w:t xml:space="preserve">. Dysentery is comprised of </w:t>
      </w:r>
      <w:r w:rsidR="003E1039">
        <w:t xml:space="preserve">amoebic dysentery (amoebiasis) </w:t>
      </w:r>
      <w:r w:rsidR="006551F4">
        <w:t>(</w:t>
      </w:r>
      <w:r w:rsidR="003E1039">
        <w:t>caused by</w:t>
      </w:r>
      <w:r w:rsidR="003E1039" w:rsidRPr="003E1039">
        <w:t xml:space="preserve"> </w:t>
      </w:r>
      <w:r w:rsidR="003E1039" w:rsidRPr="00F46ECF">
        <w:rPr>
          <w:i/>
          <w:iCs/>
        </w:rPr>
        <w:t>Entamoeba histolytica</w:t>
      </w:r>
      <w:r w:rsidR="00FB49B8">
        <w:rPr>
          <w:i/>
          <w:iCs/>
        </w:rPr>
        <w:t>, Balantidium coli, and strongyloidiasis</w:t>
      </w:r>
      <w:r w:rsidR="006551F4">
        <w:rPr>
          <w:i/>
          <w:iCs/>
        </w:rPr>
        <w:t xml:space="preserve">), </w:t>
      </w:r>
      <w:r w:rsidR="00FB49B8" w:rsidRPr="00F46ECF">
        <w:t xml:space="preserve">and </w:t>
      </w:r>
      <w:r w:rsidR="001D114A" w:rsidRPr="00F46ECF">
        <w:t>bacillary</w:t>
      </w:r>
      <w:r w:rsidR="00FB49B8" w:rsidRPr="00F46ECF">
        <w:t xml:space="preserve"> dysentery</w:t>
      </w:r>
      <w:r w:rsidR="00FB49B8">
        <w:rPr>
          <w:i/>
          <w:iCs/>
        </w:rPr>
        <w:t xml:space="preserve"> </w:t>
      </w:r>
      <w:r w:rsidR="006551F4">
        <w:rPr>
          <w:i/>
          <w:iCs/>
        </w:rPr>
        <w:t>(</w:t>
      </w:r>
      <w:r w:rsidR="00FB49B8" w:rsidRPr="00F46ECF">
        <w:t>caused by</w:t>
      </w:r>
      <w:r w:rsidR="00FB49B8">
        <w:rPr>
          <w:i/>
          <w:iCs/>
        </w:rPr>
        <w:t xml:space="preserve"> </w:t>
      </w:r>
      <w:r w:rsidR="00FB49B8" w:rsidRPr="00FB49B8">
        <w:rPr>
          <w:i/>
          <w:iCs/>
        </w:rPr>
        <w:t>Shigella, Salmonella, Campylobacter and Escherichia coli</w:t>
      </w:r>
      <w:r w:rsidR="006551F4">
        <w:rPr>
          <w:i/>
          <w:iCs/>
        </w:rPr>
        <w:t xml:space="preserve"> (</w:t>
      </w:r>
      <w:r w:rsidR="002448F1">
        <w:rPr>
          <w:i/>
          <w:iCs/>
        </w:rPr>
        <w:t xml:space="preserve">e.g., </w:t>
      </w:r>
      <w:r w:rsidR="006551F4" w:rsidRPr="002448F1">
        <w:rPr>
          <w:i/>
          <w:iCs/>
        </w:rPr>
        <w:t xml:space="preserve">E. coli </w:t>
      </w:r>
      <w:r w:rsidR="006551F4" w:rsidRPr="006551F4">
        <w:rPr>
          <w:i/>
          <w:iCs/>
        </w:rPr>
        <w:t>O157</w:t>
      </w:r>
      <w:r w:rsidR="0031798F">
        <w:rPr>
          <w:i/>
          <w:iCs/>
        </w:rPr>
        <w:t xml:space="preserve"> </w:t>
      </w:r>
      <w:r w:rsidR="00080473">
        <w:rPr>
          <w:i/>
          <w:iCs/>
        </w:rPr>
        <w:t>(</w:t>
      </w:r>
      <w:r w:rsidR="006551F4" w:rsidRPr="006551F4">
        <w:rPr>
          <w:i/>
          <w:iCs/>
        </w:rPr>
        <w:t>enterohemorrhagic</w:t>
      </w:r>
      <w:r w:rsidR="002448F1">
        <w:rPr>
          <w:i/>
          <w:iCs/>
        </w:rPr>
        <w:t xml:space="preserve"> E. coli</w:t>
      </w:r>
      <w:r w:rsidR="00080473">
        <w:rPr>
          <w:i/>
          <w:iCs/>
        </w:rPr>
        <w:t>)</w:t>
      </w:r>
      <w:r w:rsidR="002448F1">
        <w:rPr>
          <w:i/>
          <w:iCs/>
        </w:rPr>
        <w:t xml:space="preserve">; other serious E. coli types are </w:t>
      </w:r>
      <w:r w:rsidR="002448F1" w:rsidRPr="002448F1">
        <w:rPr>
          <w:i/>
          <w:iCs/>
        </w:rPr>
        <w:t xml:space="preserve">enteropathogenic, </w:t>
      </w:r>
      <w:proofErr w:type="spellStart"/>
      <w:r w:rsidR="002448F1" w:rsidRPr="002448F1">
        <w:rPr>
          <w:i/>
          <w:iCs/>
        </w:rPr>
        <w:t>enteroinvasive</w:t>
      </w:r>
      <w:proofErr w:type="spellEnd"/>
      <w:r w:rsidR="002448F1" w:rsidRPr="002448F1">
        <w:rPr>
          <w:i/>
          <w:iCs/>
        </w:rPr>
        <w:t xml:space="preserve">, enterohemorrhagic, and </w:t>
      </w:r>
      <w:proofErr w:type="spellStart"/>
      <w:r w:rsidR="002448F1" w:rsidRPr="002448F1">
        <w:rPr>
          <w:i/>
          <w:iCs/>
        </w:rPr>
        <w:t>enteroadherent</w:t>
      </w:r>
      <w:proofErr w:type="spellEnd"/>
      <w:r w:rsidR="006551F4" w:rsidRPr="00F46ECF">
        <w:t>)</w:t>
      </w:r>
      <w:r w:rsidR="00FB49B8" w:rsidRPr="00FB49B8">
        <w:rPr>
          <w:i/>
          <w:iCs/>
        </w:rPr>
        <w:t xml:space="preserve">. </w:t>
      </w:r>
      <w:r w:rsidR="00FB49B8" w:rsidRPr="0031798F">
        <w:rPr>
          <w:color w:val="000000" w:themeColor="text1"/>
        </w:rPr>
        <w:t>Bacillary dysentery is the most common type of dysentery</w:t>
      </w:r>
      <w:r w:rsidR="00FB49B8" w:rsidRPr="0031798F">
        <w:rPr>
          <w:i/>
          <w:iCs/>
          <w:color w:val="000000" w:themeColor="text1"/>
        </w:rPr>
        <w:t xml:space="preserve">. </w:t>
      </w:r>
      <w:r w:rsidR="00FB49B8" w:rsidRPr="0031798F">
        <w:rPr>
          <w:color w:val="000000" w:themeColor="text1"/>
        </w:rPr>
        <w:t>Dysent</w:t>
      </w:r>
      <w:r w:rsidR="006551F4" w:rsidRPr="0031798F">
        <w:rPr>
          <w:color w:val="000000" w:themeColor="text1"/>
        </w:rPr>
        <w:t>e</w:t>
      </w:r>
      <w:r w:rsidR="00FB49B8" w:rsidRPr="0031798F">
        <w:rPr>
          <w:color w:val="000000" w:themeColor="text1"/>
        </w:rPr>
        <w:t>ry requires treatment and may necessitate</w:t>
      </w:r>
      <w:r w:rsidR="00FB49B8" w:rsidRPr="0031798F">
        <w:rPr>
          <w:i/>
          <w:iCs/>
          <w:color w:val="000000" w:themeColor="text1"/>
        </w:rPr>
        <w:t xml:space="preserve"> </w:t>
      </w:r>
      <w:r w:rsidRPr="0031798F">
        <w:rPr>
          <w:color w:val="000000" w:themeColor="text1"/>
        </w:rPr>
        <w:t>hospitalization.</w:t>
      </w:r>
      <w:bookmarkEnd w:id="50"/>
    </w:p>
    <w:p w14:paraId="67CA4B14" w14:textId="77777777" w:rsidR="006A0776" w:rsidRPr="00031169" w:rsidRDefault="006A0776" w:rsidP="002F0040"/>
    <w:p w14:paraId="56AF3A7F" w14:textId="37991A09" w:rsidR="006A0776" w:rsidRPr="00031169" w:rsidRDefault="006A0776" w:rsidP="00FD4769">
      <w:pPr>
        <w:pStyle w:val="Heading3"/>
      </w:pPr>
      <w:bookmarkStart w:id="51" w:name="OLE_LINK1"/>
      <w:bookmarkStart w:id="52" w:name="OLE_LINK2"/>
      <w:r w:rsidRPr="00E0746C">
        <w:rPr>
          <w:highlight w:val="yellow"/>
        </w:rPr>
        <w:t>Hepatitis A</w:t>
      </w:r>
      <w:r w:rsidR="00D962B4" w:rsidRPr="00E0746C">
        <w:rPr>
          <w:highlight w:val="yellow"/>
        </w:rPr>
        <w:t xml:space="preserve"> Virus (HAV)</w:t>
      </w:r>
      <w:r w:rsidRPr="00E0746C">
        <w:rPr>
          <w:highlight w:val="yellow"/>
        </w:rPr>
        <w:t xml:space="preserve">, </w:t>
      </w:r>
      <w:r w:rsidR="000D09F5" w:rsidRPr="00E0746C">
        <w:rPr>
          <w:highlight w:val="yellow"/>
        </w:rPr>
        <w:t>Typhoid/Paratyphoid Fever</w:t>
      </w:r>
      <w:r w:rsidRPr="00E0746C">
        <w:rPr>
          <w:highlight w:val="yellow"/>
        </w:rPr>
        <w:t xml:space="preserve">, and </w:t>
      </w:r>
      <w:r w:rsidR="000D09F5" w:rsidRPr="00E0746C">
        <w:rPr>
          <w:highlight w:val="yellow"/>
        </w:rPr>
        <w:t>Diarrhea-Protozoal</w:t>
      </w:r>
    </w:p>
    <w:bookmarkEnd w:id="51"/>
    <w:bookmarkEnd w:id="52"/>
    <w:p w14:paraId="1B63FA1F" w14:textId="77777777" w:rsidR="006A0776" w:rsidRPr="00031169" w:rsidRDefault="006A0776" w:rsidP="002F0040"/>
    <w:p w14:paraId="5E829932" w14:textId="4EF2CB29" w:rsidR="006A0776" w:rsidRPr="00031169" w:rsidRDefault="00D962B4" w:rsidP="002F0040">
      <w:bookmarkStart w:id="53" w:name="_Hlk137450980"/>
      <w:r w:rsidRPr="00031169">
        <w:t>H</w:t>
      </w:r>
      <w:r w:rsidR="00740A11">
        <w:t>epatitis A Virus</w:t>
      </w:r>
      <w:r w:rsidRPr="00031169">
        <w:t>, typhoid/paratyphoid fever, and diarrhea-protozoal disease may cause prolonged illness in a small percentage of unvaccinated personnel</w:t>
      </w:r>
      <w:r w:rsidR="00BE728E">
        <w:t>, if exposed</w:t>
      </w:r>
      <w:r w:rsidRPr="00031169">
        <w:t xml:space="preserve">. HAV is </w:t>
      </w:r>
      <w:r w:rsidR="008459F7">
        <w:t xml:space="preserve">a viral infection </w:t>
      </w:r>
      <w:r w:rsidRPr="00031169">
        <w:t>transmitted through direct person</w:t>
      </w:r>
      <w:r w:rsidR="0031798F">
        <w:t>-</w:t>
      </w:r>
      <w:r w:rsidRPr="00031169">
        <w:t>to</w:t>
      </w:r>
      <w:r w:rsidR="0031798F">
        <w:t>-</w:t>
      </w:r>
      <w:r w:rsidRPr="00031169">
        <w:t xml:space="preserve">person contact or through ingestion of contaminated food or water. HAV can survive in the environment for prolonged periods of </w:t>
      </w:r>
      <w:r w:rsidR="00EF33FD" w:rsidRPr="00031169">
        <w:t>time,</w:t>
      </w:r>
      <w:r w:rsidRPr="00031169">
        <w:t xml:space="preserve"> </w:t>
      </w:r>
      <w:r w:rsidRPr="00031169">
        <w:lastRenderedPageBreak/>
        <w:t>and it can be transmitted through ice and frozen foods. Individuals are most infectious 1</w:t>
      </w:r>
      <w:r w:rsidR="0031798F">
        <w:rPr>
          <w:rFonts w:cs="Arial"/>
        </w:rPr>
        <w:t>–</w:t>
      </w:r>
      <w:r w:rsidRPr="00031169">
        <w:t>2 weeks before the onset of clinical signs and symptoms. Typhoid and paratyphoid fever</w:t>
      </w:r>
      <w:r w:rsidR="007105F2">
        <w:t>s</w:t>
      </w:r>
      <w:r w:rsidRPr="00031169">
        <w:t xml:space="preserve"> are </w:t>
      </w:r>
      <w:r w:rsidR="008459F7">
        <w:t xml:space="preserve">bacterial diseases </w:t>
      </w:r>
      <w:r w:rsidRPr="00031169">
        <w:t xml:space="preserve">acquired through consumption of water or food contaminated by feces of an acutely infected person. </w:t>
      </w:r>
      <w:r w:rsidR="00B51C64" w:rsidRPr="007105F2">
        <w:rPr>
          <w:i/>
          <w:iCs/>
        </w:rPr>
        <w:t xml:space="preserve">Salmonella </w:t>
      </w:r>
      <w:r w:rsidR="00B51C64">
        <w:rPr>
          <w:i/>
          <w:iCs/>
        </w:rPr>
        <w:t>t</w:t>
      </w:r>
      <w:r w:rsidR="00B51C64" w:rsidRPr="007105F2">
        <w:rPr>
          <w:i/>
          <w:iCs/>
        </w:rPr>
        <w:t>yphi</w:t>
      </w:r>
      <w:r w:rsidR="00B51C64" w:rsidRPr="008459F7">
        <w:t xml:space="preserve"> </w:t>
      </w:r>
      <w:r w:rsidR="00B51C64">
        <w:t>and S</w:t>
      </w:r>
      <w:r w:rsidR="00B51C64" w:rsidRPr="007105F2">
        <w:rPr>
          <w:i/>
          <w:iCs/>
        </w:rPr>
        <w:t xml:space="preserve">almonella </w:t>
      </w:r>
      <w:proofErr w:type="spellStart"/>
      <w:r w:rsidR="00B51C64" w:rsidRPr="007105F2">
        <w:rPr>
          <w:i/>
          <w:iCs/>
        </w:rPr>
        <w:t>paratyphi</w:t>
      </w:r>
      <w:proofErr w:type="spellEnd"/>
      <w:r w:rsidR="00B51C64">
        <w:t xml:space="preserve"> </w:t>
      </w:r>
      <w:r w:rsidR="00B51C64" w:rsidRPr="008459F7">
        <w:t>bacteria</w:t>
      </w:r>
      <w:r w:rsidR="00B51C64">
        <w:t xml:space="preserve"> cause t</w:t>
      </w:r>
      <w:r w:rsidR="008459F7">
        <w:t xml:space="preserve">yphoid </w:t>
      </w:r>
      <w:r w:rsidR="005162E6">
        <w:t xml:space="preserve">fever </w:t>
      </w:r>
      <w:r w:rsidR="008459F7">
        <w:t xml:space="preserve">and </w:t>
      </w:r>
      <w:r w:rsidR="005162E6">
        <w:t>p</w:t>
      </w:r>
      <w:r w:rsidR="008459F7">
        <w:t>aratyphoid</w:t>
      </w:r>
      <w:r w:rsidR="005162E6">
        <w:t xml:space="preserve"> fever</w:t>
      </w:r>
      <w:r w:rsidR="00B51C64">
        <w:t>,</w:t>
      </w:r>
      <w:r w:rsidR="008459F7">
        <w:t xml:space="preserve"> respectively. </w:t>
      </w:r>
      <w:r w:rsidR="00B51C64">
        <w:t>I</w:t>
      </w:r>
      <w:r w:rsidR="00B51C64" w:rsidRPr="00031169">
        <w:t xml:space="preserve">mmunization </w:t>
      </w:r>
      <w:r w:rsidR="00B51C64">
        <w:t>can effectively prevent h</w:t>
      </w:r>
      <w:r w:rsidRPr="00031169">
        <w:t xml:space="preserve">epatitis A and </w:t>
      </w:r>
      <w:r w:rsidR="00A948DF">
        <w:t>t</w:t>
      </w:r>
      <w:r w:rsidR="00A948DF" w:rsidRPr="00031169">
        <w:t xml:space="preserve">yphoid </w:t>
      </w:r>
      <w:r w:rsidR="00A948DF">
        <w:t>fever</w:t>
      </w:r>
      <w:r w:rsidR="00D84122">
        <w:t>.</w:t>
      </w:r>
      <w:r w:rsidR="008459F7">
        <w:t xml:space="preserve"> There is no specific antiviral medication treatment for hepatitis A. Effective antibiotics are available to treat </w:t>
      </w:r>
      <w:r w:rsidR="005162E6">
        <w:t>t</w:t>
      </w:r>
      <w:r w:rsidR="008459F7">
        <w:t xml:space="preserve">yphoid </w:t>
      </w:r>
      <w:r w:rsidR="005162E6">
        <w:t>f</w:t>
      </w:r>
      <w:r w:rsidR="008459F7">
        <w:t xml:space="preserve">ever and </w:t>
      </w:r>
      <w:r w:rsidR="005162E6">
        <w:t>p</w:t>
      </w:r>
      <w:r w:rsidR="008459F7">
        <w:t xml:space="preserve">aratyphoid </w:t>
      </w:r>
      <w:r w:rsidR="005162E6">
        <w:t>f</w:t>
      </w:r>
      <w:r w:rsidR="008459F7">
        <w:t>ever</w:t>
      </w:r>
      <w:bookmarkEnd w:id="53"/>
      <w:r w:rsidR="008459F7">
        <w:t xml:space="preserve">. </w:t>
      </w:r>
    </w:p>
    <w:p w14:paraId="4F7AEB87" w14:textId="77777777" w:rsidR="00D962B4" w:rsidRPr="00031169" w:rsidRDefault="00D962B4" w:rsidP="002F0040"/>
    <w:p w14:paraId="533C001C" w14:textId="098AB3B5" w:rsidR="006A0776" w:rsidRPr="00031169" w:rsidRDefault="006A0776" w:rsidP="00876721">
      <w:pPr>
        <w:pStyle w:val="Heading3"/>
      </w:pPr>
      <w:r w:rsidRPr="00E0746C">
        <w:rPr>
          <w:highlight w:val="yellow"/>
        </w:rPr>
        <w:t>Diarrhea-cholera</w:t>
      </w:r>
    </w:p>
    <w:p w14:paraId="3FDD100F" w14:textId="77777777" w:rsidR="006A0776" w:rsidRPr="00031169" w:rsidRDefault="006A0776" w:rsidP="002F0040"/>
    <w:p w14:paraId="1EBDD9C8" w14:textId="426BDEB6" w:rsidR="006A0776" w:rsidRDefault="003574A9" w:rsidP="002F0040">
      <w:bookmarkStart w:id="54" w:name="_Hlk137450995"/>
      <w:r w:rsidRPr="00031169">
        <w:t xml:space="preserve">Cholera is a </w:t>
      </w:r>
      <w:r w:rsidR="00843B07" w:rsidRPr="00843B07">
        <w:t xml:space="preserve">Vibrio cholerae </w:t>
      </w:r>
      <w:r w:rsidRPr="00031169">
        <w:t>bacterial disease usually spread through contaminated water</w:t>
      </w:r>
      <w:r w:rsidR="00B51C64">
        <w:t>,</w:t>
      </w:r>
      <w:r w:rsidRPr="00031169">
        <w:t xml:space="preserve"> which causes severe diarrhea and dehydration. </w:t>
      </w:r>
      <w:r w:rsidR="002E75A8">
        <w:t xml:space="preserve">Cholera may range from </w:t>
      </w:r>
      <w:r w:rsidRPr="00031169">
        <w:t>mild</w:t>
      </w:r>
      <w:r w:rsidR="002E75A8">
        <w:t xml:space="preserve"> infection</w:t>
      </w:r>
      <w:r w:rsidRPr="00031169">
        <w:t xml:space="preserve"> </w:t>
      </w:r>
      <w:r w:rsidR="002E75A8">
        <w:t>(</w:t>
      </w:r>
      <w:r w:rsidRPr="00031169">
        <w:t>with recovery and return to duty in less than 72 hours with appropriate outpatient treatment</w:t>
      </w:r>
      <w:r w:rsidR="002E75A8">
        <w:t>) to s</w:t>
      </w:r>
      <w:r w:rsidRPr="00031169">
        <w:t xml:space="preserve">evere </w:t>
      </w:r>
      <w:r w:rsidR="002E75A8">
        <w:t>disease (</w:t>
      </w:r>
      <w:r w:rsidRPr="00031169">
        <w:t>requir</w:t>
      </w:r>
      <w:r w:rsidR="002E75A8">
        <w:t xml:space="preserve">ing </w:t>
      </w:r>
      <w:r w:rsidRPr="00031169">
        <w:t>1</w:t>
      </w:r>
      <w:r w:rsidR="00DE02A6">
        <w:rPr>
          <w:rFonts w:cs="Arial"/>
        </w:rPr>
        <w:t>–</w:t>
      </w:r>
      <w:r w:rsidRPr="00031169">
        <w:t>7 days of supportive or inpatient care, followed by return to duty</w:t>
      </w:r>
      <w:r w:rsidR="002E75A8">
        <w:t>)</w:t>
      </w:r>
      <w:r w:rsidRPr="00031169">
        <w:t xml:space="preserve">. </w:t>
      </w:r>
      <w:r w:rsidR="002E75A8">
        <w:t xml:space="preserve">About 10% of those with cholera infection will develop severe symptoms. </w:t>
      </w:r>
      <w:r w:rsidR="006A0776" w:rsidRPr="00031169">
        <w:t>Mitigation strategies in place include consumption of approved food, water, and ice; hand washing; and applied food/water safety mechanisms</w:t>
      </w:r>
      <w:r w:rsidR="002C6D14" w:rsidRPr="00031169">
        <w:t xml:space="preserve">. </w:t>
      </w:r>
      <w:r w:rsidR="002E75A8">
        <w:t>There are currently two approved vaccine</w:t>
      </w:r>
      <w:r w:rsidR="005162E6">
        <w:t>s</w:t>
      </w:r>
      <w:r w:rsidR="002E75A8">
        <w:t xml:space="preserve"> available</w:t>
      </w:r>
      <w:bookmarkEnd w:id="54"/>
      <w:r w:rsidR="002E75A8">
        <w:t>.</w:t>
      </w:r>
    </w:p>
    <w:p w14:paraId="36B18435" w14:textId="2AB03D02" w:rsidR="00D9106C" w:rsidRDefault="00D9106C" w:rsidP="002F0040"/>
    <w:p w14:paraId="6112650C" w14:textId="4C4E0B2C" w:rsidR="00D9106C" w:rsidRPr="00C36D69" w:rsidRDefault="00D9106C" w:rsidP="00FD4769">
      <w:pPr>
        <w:pStyle w:val="Heading3"/>
      </w:pPr>
      <w:r w:rsidRPr="00C36D69">
        <w:rPr>
          <w:highlight w:val="yellow"/>
        </w:rPr>
        <w:t>Brucellosis</w:t>
      </w:r>
    </w:p>
    <w:p w14:paraId="19BB66A3" w14:textId="77777777" w:rsidR="00D9106C" w:rsidRPr="00D9106C" w:rsidRDefault="00D9106C" w:rsidP="002F0040">
      <w:pPr>
        <w:rPr>
          <w:highlight w:val="yellow"/>
        </w:rPr>
      </w:pPr>
    </w:p>
    <w:p w14:paraId="455D368F" w14:textId="57BFD8E7" w:rsidR="00D9106C" w:rsidRPr="001575BC" w:rsidRDefault="00843B07" w:rsidP="002F0040">
      <w:r w:rsidRPr="007105F2">
        <w:rPr>
          <w:i/>
          <w:iCs/>
        </w:rPr>
        <w:t>Brucella</w:t>
      </w:r>
      <w:r w:rsidRPr="00843B07">
        <w:t xml:space="preserve"> </w:t>
      </w:r>
      <w:r>
        <w:t xml:space="preserve">causes </w:t>
      </w:r>
      <w:r w:rsidR="00D9106C" w:rsidRPr="001575BC">
        <w:t xml:space="preserve">a common </w:t>
      </w:r>
      <w:r>
        <w:t xml:space="preserve">bacterial </w:t>
      </w:r>
      <w:r w:rsidR="00D9106C" w:rsidRPr="001575BC">
        <w:t>disease</w:t>
      </w:r>
      <w:r w:rsidR="007105F2">
        <w:t xml:space="preserve"> (Brucellosis)</w:t>
      </w:r>
      <w:r w:rsidR="00D9106C" w:rsidRPr="001575BC">
        <w:t xml:space="preserve"> in cattle, sheep, goats, swine, and some wildlife species and is contracted via consumption of contaminated dairy products (or foods made with such products) or by occupational exposures to infected animals</w:t>
      </w:r>
      <w:r w:rsidR="00807C50" w:rsidRPr="001575BC">
        <w:t xml:space="preserve">. </w:t>
      </w:r>
      <w:r w:rsidR="00D9106C" w:rsidRPr="001575BC">
        <w:t>Mitigation strategies in place include consumption of approved food and applied food/water safety mechanisms</w:t>
      </w:r>
      <w:r w:rsidR="00807C50" w:rsidRPr="001575BC">
        <w:t xml:space="preserve">. </w:t>
      </w:r>
      <w:r>
        <w:t>B</w:t>
      </w:r>
      <w:r w:rsidRPr="00843B07">
        <w:t xml:space="preserve">rucellosis </w:t>
      </w:r>
      <w:r>
        <w:t xml:space="preserve">in humans </w:t>
      </w:r>
      <w:r w:rsidRPr="00843B07">
        <w:t xml:space="preserve">is a febrile illness of variable severity </w:t>
      </w:r>
      <w:r>
        <w:t xml:space="preserve">that </w:t>
      </w:r>
      <w:r w:rsidRPr="00843B07">
        <w:t>may require inpatient care.</w:t>
      </w:r>
      <w:r>
        <w:t xml:space="preserve"> It is typically associated with </w:t>
      </w:r>
      <w:r w:rsidRPr="00843B07">
        <w:t>flu-like symptoms</w:t>
      </w:r>
      <w:r>
        <w:t xml:space="preserve"> of </w:t>
      </w:r>
      <w:r w:rsidRPr="00843B07">
        <w:t>fever, sweats, headaches, back pains, and weakness.</w:t>
      </w:r>
      <w:r>
        <w:t xml:space="preserve"> There is no vaccine</w:t>
      </w:r>
      <w:r w:rsidR="005162E6">
        <w:t xml:space="preserve"> for humans</w:t>
      </w:r>
      <w:r>
        <w:t xml:space="preserve">. </w:t>
      </w:r>
      <w:r w:rsidRPr="00843B07">
        <w:t xml:space="preserve">Depending on the timing of treatment and severity of illness, recovery may take a few weeks to several months. Death from brucellosis is rare. </w:t>
      </w:r>
      <w:r>
        <w:t>Typically</w:t>
      </w:r>
      <w:r w:rsidR="005162E6">
        <w:t>,</w:t>
      </w:r>
      <w:r>
        <w:t xml:space="preserve"> prolonged combination antibiotic treatment is required (</w:t>
      </w:r>
      <w:r w:rsidRPr="00843B07">
        <w:t>minimum of 6</w:t>
      </w:r>
      <w:r w:rsidR="00153F13">
        <w:rPr>
          <w:rFonts w:cs="Arial"/>
        </w:rPr>
        <w:t>–</w:t>
      </w:r>
      <w:r w:rsidRPr="00843B07">
        <w:t>8 weeks</w:t>
      </w:r>
      <w:r>
        <w:t>)</w:t>
      </w:r>
      <w:r w:rsidRPr="00843B07">
        <w:t>.</w:t>
      </w:r>
      <w:r>
        <w:t xml:space="preserve"> </w:t>
      </w:r>
    </w:p>
    <w:p w14:paraId="2402E065" w14:textId="77777777" w:rsidR="00D9106C" w:rsidRPr="00D9106C" w:rsidRDefault="00D9106C" w:rsidP="002F0040">
      <w:pPr>
        <w:rPr>
          <w:highlight w:val="yellow"/>
        </w:rPr>
      </w:pPr>
    </w:p>
    <w:p w14:paraId="1D67515E" w14:textId="26BFD0D6" w:rsidR="00D9106C" w:rsidRPr="00C36D69" w:rsidRDefault="00CC4F49" w:rsidP="00FD4769">
      <w:pPr>
        <w:pStyle w:val="Heading3"/>
      </w:pPr>
      <w:bookmarkStart w:id="55" w:name="_Hlk126657395"/>
      <w:commentRangeStart w:id="56"/>
      <w:commentRangeEnd w:id="56"/>
      <w:r>
        <w:rPr>
          <w:rStyle w:val="CommentReference"/>
          <w:color w:val="auto"/>
        </w:rPr>
        <w:commentReference w:id="56"/>
      </w:r>
      <w:bookmarkEnd w:id="55"/>
      <w:r w:rsidR="00D9106C" w:rsidRPr="00C36D69">
        <w:rPr>
          <w:highlight w:val="yellow"/>
        </w:rPr>
        <w:t>Hepatitis E</w:t>
      </w:r>
    </w:p>
    <w:p w14:paraId="1FA9525A" w14:textId="77777777" w:rsidR="00D9106C" w:rsidRPr="00D9106C" w:rsidRDefault="00D9106C" w:rsidP="002F0040">
      <w:pPr>
        <w:rPr>
          <w:highlight w:val="yellow"/>
        </w:rPr>
      </w:pPr>
    </w:p>
    <w:p w14:paraId="3DC8F9F2" w14:textId="75A78CB7" w:rsidR="00D9106C" w:rsidRDefault="008459F7" w:rsidP="002F0040">
      <w:r>
        <w:t>Hepatitis E is spread by fecal/oral route. It u</w:t>
      </w:r>
      <w:r w:rsidRPr="008459F7">
        <w:t>sually produces a mild disease</w:t>
      </w:r>
      <w:r>
        <w:t xml:space="preserve">. </w:t>
      </w:r>
      <w:r w:rsidRPr="008459F7">
        <w:t>However, disease symptoms can vary from no apparent symptoms to liver failure. In rare cases, it can prove fatal</w:t>
      </w:r>
      <w:r w:rsidR="002740A7">
        <w:t>,</w:t>
      </w:r>
      <w:r w:rsidRPr="008459F7">
        <w:t xml:space="preserve"> particularly in pregnant women. Normally, the virus infection will clear by itself.</w:t>
      </w:r>
      <w:r>
        <w:t xml:space="preserve"> </w:t>
      </w:r>
      <w:r w:rsidR="00D9106C" w:rsidRPr="001575BC">
        <w:t xml:space="preserve">Hepatitis E </w:t>
      </w:r>
      <w:r>
        <w:t xml:space="preserve">is a </w:t>
      </w:r>
      <w:r w:rsidR="004863C0" w:rsidRPr="008459F7">
        <w:t>Herpesviridae</w:t>
      </w:r>
      <w:r w:rsidRPr="008459F7">
        <w:t xml:space="preserve"> </w:t>
      </w:r>
      <w:r>
        <w:t xml:space="preserve">virus that </w:t>
      </w:r>
      <w:r w:rsidR="00D9106C" w:rsidRPr="001575BC">
        <w:t xml:space="preserve">occurs in </w:t>
      </w:r>
      <w:r w:rsidR="0065592D">
        <w:t>five</w:t>
      </w:r>
      <w:r w:rsidR="0065592D" w:rsidRPr="001575BC">
        <w:t xml:space="preserve"> </w:t>
      </w:r>
      <w:r w:rsidR="00D9106C" w:rsidRPr="001575BC">
        <w:t>major genotypes</w:t>
      </w:r>
      <w:r w:rsidR="008A7249">
        <w:t xml:space="preserve"> including genotype (</w:t>
      </w:r>
      <w:proofErr w:type="spellStart"/>
      <w:r w:rsidR="008A7249">
        <w:t>gt</w:t>
      </w:r>
      <w:proofErr w:type="spellEnd"/>
      <w:r w:rsidR="008A7249">
        <w:t>)</w:t>
      </w:r>
      <w:r w:rsidR="009B049D">
        <w:t xml:space="preserve"> </w:t>
      </w:r>
      <w:r w:rsidR="008A7249">
        <w:t>1, gt2, gt3, gt4, and gt7</w:t>
      </w:r>
      <w:r w:rsidR="00807C50" w:rsidRPr="001575BC">
        <w:t xml:space="preserve">. </w:t>
      </w:r>
      <w:r w:rsidR="008A7249" w:rsidRPr="001575BC">
        <w:t>G</w:t>
      </w:r>
      <w:r w:rsidR="008A7249">
        <w:t>t</w:t>
      </w:r>
      <w:r w:rsidR="00D9106C" w:rsidRPr="001575BC">
        <w:t xml:space="preserve">1 and </w:t>
      </w:r>
      <w:r w:rsidR="008A7249">
        <w:t>gt</w:t>
      </w:r>
      <w:r w:rsidR="00D9106C" w:rsidRPr="001575BC">
        <w:t xml:space="preserve">2 are </w:t>
      </w:r>
      <w:r w:rsidR="0065592D">
        <w:t>pathogenic only for humans</w:t>
      </w:r>
      <w:r w:rsidR="002740A7">
        <w:t>;</w:t>
      </w:r>
      <w:r w:rsidR="008A7249">
        <w:t xml:space="preserve"> gt3 and gt4 have animal reservoirs in swine, deer, wild boars, and rabbits</w:t>
      </w:r>
      <w:r w:rsidR="002740A7">
        <w:t>;</w:t>
      </w:r>
      <w:r w:rsidR="008A7249">
        <w:t xml:space="preserve"> and gt7 has a reservoir in camels. </w:t>
      </w:r>
      <w:r w:rsidR="003B267B">
        <w:t>G</w:t>
      </w:r>
      <w:r w:rsidR="008A7249">
        <w:t>t</w:t>
      </w:r>
      <w:r w:rsidR="003B267B">
        <w:t xml:space="preserve">1 strains are </w:t>
      </w:r>
      <w:r w:rsidR="00D9106C" w:rsidRPr="001575BC">
        <w:t xml:space="preserve">found primarily in </w:t>
      </w:r>
      <w:r w:rsidR="003B267B">
        <w:t>the Indian subcontinent (China, Bangladesh, Nepal, Pakistan, Afghanistan, and most countries in sub-Saharan</w:t>
      </w:r>
      <w:r w:rsidR="0065592D">
        <w:t xml:space="preserve"> </w:t>
      </w:r>
      <w:r w:rsidR="003B267B">
        <w:t>Africa</w:t>
      </w:r>
      <w:r w:rsidR="008A7249">
        <w:t xml:space="preserve">), whereas </w:t>
      </w:r>
      <w:r w:rsidR="00456351">
        <w:t>gt</w:t>
      </w:r>
      <w:r w:rsidR="003B267B">
        <w:t xml:space="preserve">2 strains </w:t>
      </w:r>
      <w:r w:rsidR="008A7249">
        <w:t xml:space="preserve">are found primarily in Mexico, Nigeria, Chad, Sudan, and the Central </w:t>
      </w:r>
      <w:r w:rsidR="00D9106C" w:rsidRPr="001575BC">
        <w:t>Africa</w:t>
      </w:r>
      <w:r w:rsidR="008A7249">
        <w:t xml:space="preserve">n Republic. Gt3 strains are present in Europe, the United States and other North American countries, Central and Southern Japan, New Zealand, and Australia, whereas gt4 </w:t>
      </w:r>
      <w:r w:rsidR="00456351">
        <w:t xml:space="preserve">strains are present in China, northern Japan, and India. Gt7, the most recently identified strain, has currently only been identified in the United Arab Emirates. </w:t>
      </w:r>
      <w:r w:rsidR="00D9106C" w:rsidRPr="001575BC">
        <w:t>The most common source of exposure is fecal contamination of drinking water</w:t>
      </w:r>
      <w:r w:rsidR="00807C50" w:rsidRPr="001575BC">
        <w:t xml:space="preserve">. </w:t>
      </w:r>
      <w:r w:rsidR="00D9106C" w:rsidRPr="001575BC">
        <w:t xml:space="preserve">Mitigation strategies in place include consumption of approved </w:t>
      </w:r>
      <w:r w:rsidR="00D9106C" w:rsidRPr="001575BC">
        <w:lastRenderedPageBreak/>
        <w:t>food and applied food/water safety mechanisms</w:t>
      </w:r>
      <w:r w:rsidR="00807C50" w:rsidRPr="001575BC">
        <w:t xml:space="preserve">. </w:t>
      </w:r>
      <w:r w:rsidR="00D9106C" w:rsidRPr="001575BC">
        <w:t>Typical cases involve 1 to 3 weeks of debilitating symptoms and return to duty may require a month or more.</w:t>
      </w:r>
      <w:r w:rsidRPr="008459F7">
        <w:t xml:space="preserve"> </w:t>
      </w:r>
      <w:r>
        <w:t>T</w:t>
      </w:r>
      <w:r w:rsidRPr="008459F7">
        <w:t>here is no specific antiviral therapy for acute hepatitis E</w:t>
      </w:r>
      <w:r>
        <w:t xml:space="preserve"> nor a vaccine</w:t>
      </w:r>
      <w:r w:rsidRPr="008459F7">
        <w:t>.</w:t>
      </w:r>
    </w:p>
    <w:p w14:paraId="3EFC7018" w14:textId="201A1C2F" w:rsidR="0023776F" w:rsidRDefault="0023776F" w:rsidP="002F0040"/>
    <w:p w14:paraId="24B7EADA" w14:textId="5AD3C2A0" w:rsidR="0023776F" w:rsidRPr="0023776F" w:rsidRDefault="0023776F" w:rsidP="008665E2">
      <w:pPr>
        <w:pStyle w:val="Heading3"/>
      </w:pPr>
      <w:r w:rsidRPr="0023776F">
        <w:rPr>
          <w:highlight w:val="yellow"/>
        </w:rPr>
        <w:t>Polio</w:t>
      </w:r>
    </w:p>
    <w:p w14:paraId="5220C50C" w14:textId="30BE2AA0" w:rsidR="0023776F" w:rsidRPr="0023776F" w:rsidRDefault="0023776F" w:rsidP="002F0040"/>
    <w:p w14:paraId="0A760795" w14:textId="2B8A0E37" w:rsidR="0023776F" w:rsidRPr="0023776F" w:rsidRDefault="00843B07" w:rsidP="0023776F">
      <w:pPr>
        <w:pStyle w:val="BodyTextFirstIndent"/>
        <w:spacing w:after="0"/>
        <w:ind w:firstLine="0"/>
      </w:pPr>
      <w:r>
        <w:t xml:space="preserve">Polio (poliomyelitis) is </w:t>
      </w:r>
      <w:r w:rsidR="007105F2">
        <w:t xml:space="preserve">a </w:t>
      </w:r>
      <w:proofErr w:type="gramStart"/>
      <w:r w:rsidR="007105F2">
        <w:t>highly-infectio</w:t>
      </w:r>
      <w:r w:rsidR="005C599E">
        <w:t>u</w:t>
      </w:r>
      <w:r w:rsidR="007105F2">
        <w:t>s</w:t>
      </w:r>
      <w:proofErr w:type="gramEnd"/>
      <w:r w:rsidR="007105F2">
        <w:t xml:space="preserve"> viral disease caused by </w:t>
      </w:r>
      <w:r>
        <w:t>a</w:t>
      </w:r>
      <w:r w:rsidR="00B66139">
        <w:t xml:space="preserve">n </w:t>
      </w:r>
      <w:r w:rsidR="00B66139" w:rsidRPr="007105F2">
        <w:rPr>
          <w:i/>
          <w:iCs/>
        </w:rPr>
        <w:t>Enterovirus</w:t>
      </w:r>
      <w:r w:rsidR="00B66139">
        <w:t xml:space="preserve">. It </w:t>
      </w:r>
      <w:r>
        <w:t xml:space="preserve">can affect the brain and spinal cord. It ranges in severity from asymptomatic, to mild, to paralytic. </w:t>
      </w:r>
      <w:r w:rsidR="0023776F" w:rsidRPr="0023776F">
        <w:t>Despite a concerted global eradication campaign, the poliovirus continues to affect children and adults in</w:t>
      </w:r>
      <w:commentRangeStart w:id="57"/>
      <w:r w:rsidR="0023776F" w:rsidRPr="0023776F">
        <w:t xml:space="preserve"> </w:t>
      </w:r>
      <w:r w:rsidR="0023776F" w:rsidRPr="0023776F">
        <w:rPr>
          <w:highlight w:val="yellow"/>
        </w:rPr>
        <w:t>Afghanistan</w:t>
      </w:r>
      <w:r w:rsidR="0023776F" w:rsidRPr="0023776F">
        <w:t xml:space="preserve">. </w:t>
      </w:r>
      <w:r w:rsidR="002E75A8">
        <w:t xml:space="preserve">Reportedly, Iraq </w:t>
      </w:r>
      <w:commentRangeEnd w:id="57"/>
      <w:r w:rsidR="007105F2">
        <w:rPr>
          <w:rStyle w:val="CommentReference"/>
        </w:rPr>
        <w:commentReference w:id="57"/>
      </w:r>
      <w:r w:rsidR="002E75A8">
        <w:t>has been free of wild poliovirus since 2014.</w:t>
      </w:r>
      <w:r w:rsidR="0023776F" w:rsidRPr="0023776F">
        <w:t xml:space="preserve"> The virus is transmitted person-to-person, typically by hands, food</w:t>
      </w:r>
      <w:r w:rsidR="005C599E">
        <w:t>,</w:t>
      </w:r>
      <w:r w:rsidR="0023776F" w:rsidRPr="0023776F">
        <w:t xml:space="preserve"> or water contaminated with fecal matter or through direct contact with the infected person's saliva. An infected person may spread the virus to others immediately before and about 1 to 2 weeks after symptoms appear. The virus can live in an infected person’s feces for many weeks. About 90% of people infected have no symptoms, and about 1% </w:t>
      </w:r>
      <w:r w:rsidR="005C599E">
        <w:t xml:space="preserve">of people </w:t>
      </w:r>
      <w:r w:rsidR="0023776F" w:rsidRPr="0023776F">
        <w:t xml:space="preserve">have a very severe illness leading to muscle weakness, difficulty breathing, paralysis, and sometimes death. People who </w:t>
      </w:r>
      <w:r w:rsidR="00A159CF">
        <w:t>are asymptomatic</w:t>
      </w:r>
      <w:r w:rsidR="002E75A8">
        <w:t xml:space="preserve"> </w:t>
      </w:r>
      <w:r w:rsidR="0023776F" w:rsidRPr="0023776F">
        <w:t>can still pass the virus to others and make them sick.</w:t>
      </w:r>
    </w:p>
    <w:p w14:paraId="028065DD" w14:textId="702D0F29" w:rsidR="006A0776" w:rsidRPr="00F83550" w:rsidRDefault="00D9106C" w:rsidP="002F0040">
      <w:r>
        <w:t xml:space="preserve"> </w:t>
      </w:r>
    </w:p>
    <w:p w14:paraId="3C42ACE6" w14:textId="639BEEEA" w:rsidR="00951C71" w:rsidRPr="00F83550" w:rsidRDefault="00951C71" w:rsidP="00580B36">
      <w:pPr>
        <w:pStyle w:val="Heading2"/>
      </w:pPr>
      <w:r w:rsidRPr="00F83550">
        <w:t>Arthropod Vector-Borne Diseases</w:t>
      </w:r>
    </w:p>
    <w:p w14:paraId="78019F88" w14:textId="77777777" w:rsidR="006A0776" w:rsidRPr="00F83550" w:rsidRDefault="006A0776" w:rsidP="002F0040"/>
    <w:p w14:paraId="51E79799" w14:textId="7E6DFDD2" w:rsidR="00C81CF3" w:rsidRPr="00DE0BAA" w:rsidRDefault="00C81CF3" w:rsidP="00DE0BAA">
      <w:bookmarkStart w:id="58" w:name="_Hlk137451019"/>
      <w:r w:rsidRPr="00DE0BAA">
        <w:t xml:space="preserve">During the warmer months, arthropod vectors </w:t>
      </w:r>
      <w:r w:rsidR="00FF1B5B" w:rsidRPr="00DE0BAA">
        <w:t xml:space="preserve">are </w:t>
      </w:r>
      <w:r w:rsidRPr="00DE0BAA">
        <w:t xml:space="preserve">typically </w:t>
      </w:r>
      <w:r w:rsidR="00FF1B5B" w:rsidRPr="00DE0BAA">
        <w:t xml:space="preserve">found </w:t>
      </w:r>
      <w:r w:rsidR="00771270" w:rsidRPr="00DE0BAA">
        <w:t>and</w:t>
      </w:r>
      <w:r w:rsidR="008B2EAE">
        <w:t>,</w:t>
      </w:r>
      <w:r w:rsidR="00771270" w:rsidRPr="00DE0BAA">
        <w:t xml:space="preserve"> depending on the location, may </w:t>
      </w:r>
      <w:r w:rsidRPr="00DE0BAA">
        <w:t>includ</w:t>
      </w:r>
      <w:r w:rsidR="00771270" w:rsidRPr="00DE0BAA">
        <w:t>e</w:t>
      </w:r>
      <w:r w:rsidRPr="00DE0BAA">
        <w:t xml:space="preserve"> mosquitoes, ticks, mites, etc. </w:t>
      </w:r>
      <w:r w:rsidR="00FF1B5B" w:rsidRPr="00DE0BAA">
        <w:t xml:space="preserve">When </w:t>
      </w:r>
      <w:r w:rsidRPr="00DE0BAA">
        <w:t>arthropod</w:t>
      </w:r>
      <w:r w:rsidR="00FF1B5B" w:rsidRPr="00DE0BAA">
        <w:t>-borne</w:t>
      </w:r>
      <w:r w:rsidRPr="00DE0BAA">
        <w:t xml:space="preserve"> disease</w:t>
      </w:r>
      <w:r w:rsidR="00FF1B5B" w:rsidRPr="00DE0BAA">
        <w:t xml:space="preserve">s are present, </w:t>
      </w:r>
      <w:r w:rsidRPr="00DE0BAA">
        <w:t xml:space="preserve">transmission is </w:t>
      </w:r>
      <w:r w:rsidR="00FF1B5B" w:rsidRPr="00DE0BAA">
        <w:t xml:space="preserve">expected to be </w:t>
      </w:r>
      <w:r w:rsidRPr="00DE0BAA">
        <w:t>sustained countrywide (including in urban areas). Mosquito-borne diseases of note are</w:t>
      </w:r>
      <w:r w:rsidR="00771270" w:rsidRPr="00DE0BAA">
        <w:t xml:space="preserve"> detailed below</w:t>
      </w:r>
      <w:r w:rsidRPr="00DE0BAA">
        <w:t xml:space="preserve">. Mitigation strategies involve good preventive medicine practices. Reducing exposure to biting arthropods is accomplished </w:t>
      </w:r>
      <w:r w:rsidR="00BE728E" w:rsidRPr="00DE0BAA">
        <w:t>via</w:t>
      </w:r>
      <w:r w:rsidRPr="00DE0BAA">
        <w:t xml:space="preserve"> the use of proper wear of </w:t>
      </w:r>
      <w:r w:rsidR="005F45A5" w:rsidRPr="00DE0BAA">
        <w:t>permethrin-</w:t>
      </w:r>
      <w:r w:rsidRPr="00DE0BAA">
        <w:t xml:space="preserve">treated uniforms, application of </w:t>
      </w:r>
      <w:r w:rsidR="003E1039" w:rsidRPr="00DE0BAA">
        <w:t xml:space="preserve">insect </w:t>
      </w:r>
      <w:r w:rsidRPr="00DE0BAA">
        <w:t>repellent to exposed skin</w:t>
      </w:r>
      <w:r w:rsidR="003E1039" w:rsidRPr="00DE0BAA">
        <w:t xml:space="preserve"> (e.g., DEET, picaridin)</w:t>
      </w:r>
      <w:r w:rsidR="00FF1B5B" w:rsidRPr="00DE0BAA">
        <w:t xml:space="preserve">, </w:t>
      </w:r>
      <w:r w:rsidRPr="00DE0BAA">
        <w:t xml:space="preserve">use of </w:t>
      </w:r>
      <w:r w:rsidR="003E1039" w:rsidRPr="00DE0BAA">
        <w:t xml:space="preserve">pyrethroid </w:t>
      </w:r>
      <w:r w:rsidRPr="00DE0BAA">
        <w:t xml:space="preserve">treated bed netting, and </w:t>
      </w:r>
      <w:r w:rsidR="00FF1B5B" w:rsidRPr="00DE0BAA">
        <w:t xml:space="preserve">employment of </w:t>
      </w:r>
      <w:r w:rsidRPr="00DE0BAA">
        <w:t>appropriate chemoprophylaxis (</w:t>
      </w:r>
      <w:r w:rsidR="00FF1B5B" w:rsidRPr="00DE0BAA">
        <w:t xml:space="preserve">notably for </w:t>
      </w:r>
      <w:r w:rsidRPr="00DE0BAA">
        <w:t>malaria). Animal contact diseases (e.g., rabies) pose a year-round risk</w:t>
      </w:r>
      <w:r w:rsidR="00FF1B5B" w:rsidRPr="00DE0BAA">
        <w:t>. When rabies is present, those at high risk should get pre-exposure rabies vaccination. All personnel should practice avoidance with local wild or domesticated animals and not make pets of local animals</w:t>
      </w:r>
      <w:bookmarkEnd w:id="58"/>
      <w:r w:rsidR="00FF1B5B" w:rsidRPr="00DE0BAA">
        <w:t>.</w:t>
      </w:r>
    </w:p>
    <w:p w14:paraId="2F2F9495" w14:textId="5CA85D7E" w:rsidR="00FF1B5B" w:rsidRPr="00DE0BAA" w:rsidRDefault="00FF1B5B" w:rsidP="00DE0BAA"/>
    <w:p w14:paraId="0C4A9F17" w14:textId="5D0D14F9" w:rsidR="00D9106C" w:rsidRPr="00D1043F" w:rsidRDefault="00FF1B5B" w:rsidP="002F0040">
      <w:bookmarkStart w:id="59" w:name="_Hlk137451053"/>
      <w:r>
        <w:t xml:space="preserve">Higher altitudes and colder temperatures may inhibit insect vector populations. For example, malaria risk zones are absent at high altitudes and in colder seasons. </w:t>
      </w:r>
      <w:r w:rsidR="003574A9" w:rsidRPr="00D1043F">
        <w:rPr>
          <w:highlight w:val="yellow"/>
        </w:rPr>
        <w:t>Mitigation strategies include</w:t>
      </w:r>
      <w:r w:rsidR="00740A11" w:rsidRPr="00D1043F">
        <w:rPr>
          <w:highlight w:val="yellow"/>
        </w:rPr>
        <w:t>d</w:t>
      </w:r>
      <w:r w:rsidR="003574A9" w:rsidRPr="00D1043F">
        <w:rPr>
          <w:highlight w:val="yellow"/>
        </w:rPr>
        <w:t xml:space="preserve"> a self-service station for dispensing of insect repellents. Personnel are also prescribed chemoprophylaxis. </w:t>
      </w:r>
      <w:r w:rsidR="006A0776" w:rsidRPr="00D1043F">
        <w:rPr>
          <w:highlight w:val="yellow"/>
        </w:rPr>
        <w:t>Mitigation strategies included proper wear of treated uniforms, application of repellent to exposed skin, and use of bed nets and chemoprophylaxis (when applicable)</w:t>
      </w:r>
      <w:r w:rsidR="002C6D14" w:rsidRPr="00D1043F">
        <w:rPr>
          <w:highlight w:val="yellow"/>
        </w:rPr>
        <w:t xml:space="preserve">. </w:t>
      </w:r>
      <w:r w:rsidR="006A0776" w:rsidRPr="00D1043F">
        <w:rPr>
          <w:highlight w:val="yellow"/>
        </w:rPr>
        <w:t xml:space="preserve">Additional methods included the use of pesticides, reduction of pest/breeding habitats, and </w:t>
      </w:r>
      <w:r w:rsidR="008B2EAE">
        <w:rPr>
          <w:highlight w:val="yellow"/>
        </w:rPr>
        <w:t xml:space="preserve">use of </w:t>
      </w:r>
      <w:r w:rsidR="006A0776" w:rsidRPr="00D1043F">
        <w:rPr>
          <w:highlight w:val="yellow"/>
        </w:rPr>
        <w:t>en</w:t>
      </w:r>
      <w:r w:rsidR="00360D2C" w:rsidRPr="00D1043F">
        <w:rPr>
          <w:highlight w:val="yellow"/>
        </w:rPr>
        <w:t>vironmental</w:t>
      </w:r>
      <w:r w:rsidR="006A0776" w:rsidRPr="00D1043F">
        <w:rPr>
          <w:highlight w:val="yellow"/>
        </w:rPr>
        <w:t xml:space="preserve"> controls.</w:t>
      </w:r>
      <w:r w:rsidR="006B48F5">
        <w:t xml:space="preserve"> </w:t>
      </w:r>
      <w:bookmarkEnd w:id="59"/>
      <w:r w:rsidR="00D1043F" w:rsidRPr="00D1043F">
        <w:rPr>
          <w:rFonts w:cs="Arial"/>
          <w:color w:val="0070C0"/>
        </w:rPr>
        <w:t>[</w:t>
      </w:r>
      <w:r w:rsidR="00D1043F" w:rsidRPr="00D1043F">
        <w:rPr>
          <w:rStyle w:val="cf01"/>
          <w:rFonts w:ascii="Arial" w:hAnsi="Arial" w:cs="Arial"/>
          <w:color w:val="0070C0"/>
          <w:sz w:val="24"/>
          <w:szCs w:val="24"/>
        </w:rPr>
        <w:t xml:space="preserve">Include </w:t>
      </w:r>
      <w:proofErr w:type="gramStart"/>
      <w:r w:rsidR="00D1043F" w:rsidRPr="00D1043F">
        <w:rPr>
          <w:rStyle w:val="cf01"/>
          <w:rFonts w:ascii="Arial" w:hAnsi="Arial" w:cs="Arial"/>
          <w:color w:val="0070C0"/>
          <w:sz w:val="24"/>
          <w:szCs w:val="24"/>
        </w:rPr>
        <w:t>any/all of</w:t>
      </w:r>
      <w:proofErr w:type="gramEnd"/>
      <w:r w:rsidR="00D1043F" w:rsidRPr="00D1043F">
        <w:rPr>
          <w:rStyle w:val="cf01"/>
          <w:rFonts w:ascii="Arial" w:hAnsi="Arial" w:cs="Arial"/>
          <w:color w:val="0070C0"/>
          <w:sz w:val="24"/>
          <w:szCs w:val="24"/>
        </w:rPr>
        <w:t xml:space="preserve"> these </w:t>
      </w:r>
      <w:r w:rsidR="00D1043F">
        <w:rPr>
          <w:rStyle w:val="cf01"/>
          <w:rFonts w:ascii="Arial" w:hAnsi="Arial" w:cs="Arial"/>
          <w:color w:val="0070C0"/>
          <w:sz w:val="24"/>
          <w:szCs w:val="24"/>
        </w:rPr>
        <w:t xml:space="preserve">mitigation strategies </w:t>
      </w:r>
      <w:r w:rsidR="00D1043F" w:rsidRPr="00D1043F">
        <w:rPr>
          <w:rStyle w:val="cf01"/>
          <w:rFonts w:ascii="Arial" w:hAnsi="Arial" w:cs="Arial"/>
          <w:color w:val="0070C0"/>
          <w:sz w:val="24"/>
          <w:szCs w:val="24"/>
        </w:rPr>
        <w:t>as appropriate for your location(s).]</w:t>
      </w:r>
    </w:p>
    <w:p w14:paraId="5C7410FC" w14:textId="2CB2445C" w:rsidR="3A60F32C" w:rsidRDefault="3A60F32C" w:rsidP="3A60F32C"/>
    <w:p w14:paraId="37A884EF" w14:textId="2BDA786B" w:rsidR="006A0776" w:rsidRPr="00E97596" w:rsidRDefault="006A0776" w:rsidP="00FD4769">
      <w:pPr>
        <w:pStyle w:val="Heading3"/>
      </w:pPr>
      <w:r w:rsidRPr="001575BC">
        <w:rPr>
          <w:highlight w:val="yellow"/>
        </w:rPr>
        <w:t>Crimean-Congo hemorrhagic fever</w:t>
      </w:r>
      <w:r w:rsidR="003D2B54" w:rsidRPr="001575BC">
        <w:rPr>
          <w:highlight w:val="yellow"/>
        </w:rPr>
        <w:t xml:space="preserve"> (CCHF)</w:t>
      </w:r>
    </w:p>
    <w:p w14:paraId="570098F8" w14:textId="77777777" w:rsidR="006A0776" w:rsidRPr="00E97596" w:rsidRDefault="006A0776" w:rsidP="002F0040"/>
    <w:p w14:paraId="501A9DAD" w14:textId="7149B2FA" w:rsidR="003D2B54" w:rsidRPr="00E97596" w:rsidRDefault="003D2B54" w:rsidP="0051520C">
      <w:bookmarkStart w:id="60" w:name="_Hlk137451177"/>
      <w:r w:rsidRPr="00E97596">
        <w:t xml:space="preserve">Crimean-Congo hemorrhagic fever is </w:t>
      </w:r>
      <w:r w:rsidR="00B66139" w:rsidRPr="00B66139">
        <w:t>caused by infection with a tick-borne virus (</w:t>
      </w:r>
      <w:proofErr w:type="spellStart"/>
      <w:r w:rsidR="00B66139" w:rsidRPr="00B66139">
        <w:t>Nairovirus</w:t>
      </w:r>
      <w:proofErr w:type="spellEnd"/>
      <w:r w:rsidR="00B66139" w:rsidRPr="00B66139">
        <w:t>)</w:t>
      </w:r>
      <w:r w:rsidR="00B66139">
        <w:t xml:space="preserve"> </w:t>
      </w:r>
      <w:r w:rsidR="007E11E3">
        <w:t>that is</w:t>
      </w:r>
      <w:r w:rsidR="00B66139">
        <w:t xml:space="preserve"> </w:t>
      </w:r>
      <w:r w:rsidRPr="00E97596">
        <w:t xml:space="preserve">transmitted by </w:t>
      </w:r>
      <w:r w:rsidR="00B66139">
        <w:t xml:space="preserve">the bites of </w:t>
      </w:r>
      <w:proofErr w:type="spellStart"/>
      <w:r w:rsidRPr="003C6D53">
        <w:rPr>
          <w:i/>
          <w:iCs/>
        </w:rPr>
        <w:t>lxodid</w:t>
      </w:r>
      <w:proofErr w:type="spellEnd"/>
      <w:r w:rsidRPr="00E97596">
        <w:t xml:space="preserve"> </w:t>
      </w:r>
      <w:r w:rsidR="00B66139">
        <w:t xml:space="preserve">(hard) </w:t>
      </w:r>
      <w:r w:rsidRPr="00E97596">
        <w:t>tick</w:t>
      </w:r>
      <w:r w:rsidR="00B66139">
        <w:t>s</w:t>
      </w:r>
      <w:r w:rsidRPr="00E97596">
        <w:t>. The onset of CC</w:t>
      </w:r>
      <w:r w:rsidR="00FE01AA">
        <w:t>HF</w:t>
      </w:r>
      <w:r w:rsidRPr="00E97596">
        <w:t xml:space="preserve"> is sudden, with initial signs and symptoms to include headache</w:t>
      </w:r>
      <w:r w:rsidR="007E11E3">
        <w:t>,</w:t>
      </w:r>
      <w:r w:rsidRPr="00E97596">
        <w:t xml:space="preserve"> high fever, back pain, joint pain, stomach pain</w:t>
      </w:r>
      <w:r w:rsidR="006F3DA0">
        <w:t>,</w:t>
      </w:r>
      <w:r w:rsidRPr="00E97596">
        <w:t xml:space="preserve"> and vomiting. </w:t>
      </w:r>
      <w:r w:rsidR="00B66139" w:rsidRPr="00B66139">
        <w:t xml:space="preserve">As the illness progresses, large areas of severe bruising, severe nosebleeds, and </w:t>
      </w:r>
      <w:r w:rsidR="00B66139" w:rsidRPr="00B66139">
        <w:lastRenderedPageBreak/>
        <w:t xml:space="preserve">uncontrolled bleeding at </w:t>
      </w:r>
      <w:r w:rsidR="00BE728E">
        <w:t>tick bite</w:t>
      </w:r>
      <w:r w:rsidR="00B66139" w:rsidRPr="00B66139">
        <w:t xml:space="preserve"> sites can be </w:t>
      </w:r>
      <w:r w:rsidR="004863C0" w:rsidRPr="00B66139">
        <w:t>seen</w:t>
      </w:r>
      <w:r w:rsidR="004863C0">
        <w:t xml:space="preserve">. </w:t>
      </w:r>
      <w:r w:rsidR="004863C0" w:rsidRPr="00B66139">
        <w:t>Fatality</w:t>
      </w:r>
      <w:r w:rsidR="00B66139" w:rsidRPr="00B66139">
        <w:t xml:space="preserve"> rates </w:t>
      </w:r>
      <w:r w:rsidR="00B66139">
        <w:t xml:space="preserve">occur even </w:t>
      </w:r>
      <w:r w:rsidR="00B66139" w:rsidRPr="00B66139">
        <w:t>in hospitalized patients</w:t>
      </w:r>
      <w:r w:rsidR="001D4EF2">
        <w:t>.</w:t>
      </w:r>
      <w:r w:rsidR="00B66139" w:rsidRPr="00B66139">
        <w:t xml:space="preserve"> </w:t>
      </w:r>
      <w:r w:rsidRPr="00E97596">
        <w:t>Treatment for CC</w:t>
      </w:r>
      <w:r w:rsidR="00FE01AA">
        <w:t>H</w:t>
      </w:r>
      <w:r w:rsidR="008048CA">
        <w:t>F</w:t>
      </w:r>
      <w:r w:rsidRPr="00E97596">
        <w:t xml:space="preserve"> is supportive care</w:t>
      </w:r>
      <w:r w:rsidR="00B66139">
        <w:t>. T</w:t>
      </w:r>
      <w:r w:rsidRPr="00E97596">
        <w:t xml:space="preserve">here </w:t>
      </w:r>
      <w:r w:rsidR="00FD21F5">
        <w:t>are</w:t>
      </w:r>
      <w:r w:rsidRPr="00E97596">
        <w:t xml:space="preserve"> no effective medication</w:t>
      </w:r>
      <w:r w:rsidR="00B66139">
        <w:t>s</w:t>
      </w:r>
      <w:r w:rsidRPr="00E97596">
        <w:t xml:space="preserve"> to </w:t>
      </w:r>
      <w:r w:rsidR="00B66139">
        <w:t xml:space="preserve">treat it. </w:t>
      </w:r>
      <w:r w:rsidRPr="00E97596">
        <w:t>Recovery is slow and long-term effect</w:t>
      </w:r>
      <w:r w:rsidR="00B66139">
        <w:t>s</w:t>
      </w:r>
      <w:r w:rsidRPr="00E97596">
        <w:t xml:space="preserve"> are unknown. There is no safe and effective vaccine currently available for human use</w:t>
      </w:r>
      <w:r w:rsidR="00B66139">
        <w:t>. P</w:t>
      </w:r>
      <w:r w:rsidRPr="00E97596">
        <w:t>reventive measure</w:t>
      </w:r>
      <w:r w:rsidR="002450F6">
        <w:t>s</w:t>
      </w:r>
      <w:r w:rsidRPr="00E97596">
        <w:t xml:space="preserve"> include tick repellant and screening for ticks</w:t>
      </w:r>
      <w:bookmarkEnd w:id="60"/>
      <w:r w:rsidRPr="00E97596">
        <w:t>.</w:t>
      </w:r>
    </w:p>
    <w:p w14:paraId="32B68C93" w14:textId="1E575087" w:rsidR="005E2A1A" w:rsidRPr="00E97596" w:rsidRDefault="005E2A1A" w:rsidP="0051520C"/>
    <w:p w14:paraId="79A56AA6" w14:textId="1646D8A3" w:rsidR="001E1161" w:rsidRPr="00AB5FAA" w:rsidRDefault="001E1161" w:rsidP="00FD4769">
      <w:pPr>
        <w:pStyle w:val="Heading3"/>
      </w:pPr>
      <w:r w:rsidRPr="001575BC">
        <w:rPr>
          <w:highlight w:val="yellow"/>
        </w:rPr>
        <w:t xml:space="preserve">Leishmaniasis - </w:t>
      </w:r>
      <w:r w:rsidR="000D09F5" w:rsidRPr="001575BC">
        <w:rPr>
          <w:highlight w:val="yellow"/>
        </w:rPr>
        <w:t xml:space="preserve">Cutaneous </w:t>
      </w:r>
      <w:r w:rsidRPr="001575BC">
        <w:rPr>
          <w:highlight w:val="yellow"/>
        </w:rPr>
        <w:t xml:space="preserve">and </w:t>
      </w:r>
      <w:r w:rsidR="000D09F5" w:rsidRPr="001575BC">
        <w:rPr>
          <w:highlight w:val="yellow"/>
        </w:rPr>
        <w:t>Visceral</w:t>
      </w:r>
    </w:p>
    <w:p w14:paraId="59F969D9" w14:textId="77777777" w:rsidR="001E1161" w:rsidRPr="00AB5FAA" w:rsidRDefault="001E1161" w:rsidP="0051520C"/>
    <w:p w14:paraId="505E9A4C" w14:textId="463A88C4" w:rsidR="001E1161" w:rsidRDefault="00F7078E" w:rsidP="00F7078E">
      <w:bookmarkStart w:id="61" w:name="_Hlk137451236"/>
      <w:r w:rsidRPr="00F7078E">
        <w:rPr>
          <w:iCs/>
        </w:rPr>
        <w:t>Leishmaniasis is caused by protozoan parasites which are transmitted by the bite of infected female phlebotomine sandflies.</w:t>
      </w:r>
      <w:r>
        <w:rPr>
          <w:iCs/>
        </w:rPr>
        <w:t xml:space="preserve"> </w:t>
      </w:r>
      <w:r w:rsidRPr="00F7078E">
        <w:rPr>
          <w:iCs/>
        </w:rPr>
        <w:t>The female sandflies feed on blood</w:t>
      </w:r>
      <w:r w:rsidR="0097743C">
        <w:rPr>
          <w:iCs/>
        </w:rPr>
        <w:t>,</w:t>
      </w:r>
      <w:r w:rsidRPr="00F7078E">
        <w:rPr>
          <w:iCs/>
        </w:rPr>
        <w:t xml:space="preserve"> </w:t>
      </w:r>
      <w:r w:rsidR="001D4EF2">
        <w:rPr>
          <w:iCs/>
        </w:rPr>
        <w:t>typically at night</w:t>
      </w:r>
      <w:r w:rsidR="0097743C">
        <w:rPr>
          <w:iCs/>
        </w:rPr>
        <w:t>,</w:t>
      </w:r>
      <w:r w:rsidR="001D4EF2">
        <w:rPr>
          <w:iCs/>
        </w:rPr>
        <w:t xml:space="preserve"> </w:t>
      </w:r>
      <w:r w:rsidRPr="00F7078E">
        <w:rPr>
          <w:iCs/>
        </w:rPr>
        <w:t>to produce eggs.</w:t>
      </w:r>
      <w:r>
        <w:rPr>
          <w:iCs/>
        </w:rPr>
        <w:t xml:space="preserve"> T</w:t>
      </w:r>
      <w:r w:rsidRPr="00F7078E">
        <w:rPr>
          <w:iCs/>
        </w:rPr>
        <w:t xml:space="preserve">here are </w:t>
      </w:r>
      <w:r>
        <w:rPr>
          <w:iCs/>
        </w:rPr>
        <w:t xml:space="preserve">three </w:t>
      </w:r>
      <w:r w:rsidRPr="00F7078E">
        <w:rPr>
          <w:iCs/>
        </w:rPr>
        <w:t>main forms of leishmaniases: visceral (the most serious form because it is almost always fatal without treatment)</w:t>
      </w:r>
      <w:r w:rsidR="007E11E3">
        <w:rPr>
          <w:iCs/>
        </w:rPr>
        <w:t>,</w:t>
      </w:r>
      <w:r w:rsidRPr="00F7078E">
        <w:rPr>
          <w:iCs/>
        </w:rPr>
        <w:t xml:space="preserve"> </w:t>
      </w:r>
      <w:r>
        <w:rPr>
          <w:iCs/>
        </w:rPr>
        <w:t>c</w:t>
      </w:r>
      <w:r w:rsidRPr="00F7078E">
        <w:rPr>
          <w:iCs/>
        </w:rPr>
        <w:t>utaneous (the most common, usually causing skin ulcers), and mucocutaneous (affecting mouth, nose</w:t>
      </w:r>
      <w:r w:rsidR="2DCE8501">
        <w:t>,</w:t>
      </w:r>
      <w:r w:rsidRPr="00F7078E">
        <w:rPr>
          <w:iCs/>
        </w:rPr>
        <w:t xml:space="preserve"> and throat).</w:t>
      </w:r>
      <w:r>
        <w:rPr>
          <w:iCs/>
        </w:rPr>
        <w:t xml:space="preserve"> </w:t>
      </w:r>
      <w:r w:rsidRPr="00F40FF2">
        <w:t>Clusters of</w:t>
      </w:r>
      <w:r>
        <w:t xml:space="preserve"> </w:t>
      </w:r>
      <w:r w:rsidR="007E11E3">
        <w:t xml:space="preserve">affected </w:t>
      </w:r>
      <w:r>
        <w:t xml:space="preserve">personnel may arise when there are </w:t>
      </w:r>
      <w:r w:rsidR="001E1161" w:rsidRPr="00AB5FAA">
        <w:t>groups of personnel exposed to heavily infected sandflies in focal areas</w:t>
      </w:r>
      <w:r w:rsidR="00535D77">
        <w:t xml:space="preserve">. </w:t>
      </w:r>
      <w:r w:rsidR="001E1161" w:rsidRPr="002F2E05">
        <w:t xml:space="preserve">The most common </w:t>
      </w:r>
      <w:r>
        <w:t xml:space="preserve">form of the disease is </w:t>
      </w:r>
      <w:r w:rsidR="001E1161" w:rsidRPr="002F2E05">
        <w:t>cutaneous leishmaniasis</w:t>
      </w:r>
      <w:r>
        <w:t xml:space="preserve">, with </w:t>
      </w:r>
      <w:r w:rsidR="001E1161" w:rsidRPr="002F2E05">
        <w:t>skin sores that can change in size and appearance over time. The symptoms of visceral leishmaniasis are fever</w:t>
      </w:r>
      <w:r w:rsidR="006B3914">
        <w:t>;</w:t>
      </w:r>
      <w:r w:rsidR="001E1161" w:rsidRPr="002F2E05">
        <w:t xml:space="preserve"> weight loss</w:t>
      </w:r>
      <w:r w:rsidR="006B3914">
        <w:t>;</w:t>
      </w:r>
      <w:r w:rsidR="001E1161" w:rsidRPr="002F2E05">
        <w:t xml:space="preserve"> enlarged spleen and liver</w:t>
      </w:r>
      <w:r w:rsidR="006B3914">
        <w:t>;</w:t>
      </w:r>
      <w:r w:rsidR="001E1161" w:rsidRPr="002F2E05">
        <w:t xml:space="preserve"> </w:t>
      </w:r>
      <w:r w:rsidR="006B3914">
        <w:t xml:space="preserve">and </w:t>
      </w:r>
      <w:r w:rsidR="001E1161" w:rsidRPr="002F2E05">
        <w:t>low red blood cell count, platelet count</w:t>
      </w:r>
      <w:r w:rsidR="006B3914">
        <w:t>,</w:t>
      </w:r>
      <w:r w:rsidR="001E1161" w:rsidRPr="002F2E05">
        <w:t xml:space="preserve"> and white blood cell count. Some people may have no symptoms. </w:t>
      </w:r>
      <w:r w:rsidR="001E1161" w:rsidRPr="00AB5FAA">
        <w:t>Visceral disease can cause severe febrile illness which typically requires hospitalization with convalescence over 7 days</w:t>
      </w:r>
      <w:r>
        <w:t>; it is most</w:t>
      </w:r>
      <w:r w:rsidR="00AA588B">
        <w:t>ly</w:t>
      </w:r>
      <w:r>
        <w:t xml:space="preserve"> fatal without treatment</w:t>
      </w:r>
      <w:r w:rsidR="001E1161" w:rsidRPr="00AB5FAA">
        <w:t>.</w:t>
      </w:r>
      <w:r w:rsidR="001E1161">
        <w:t xml:space="preserve"> </w:t>
      </w:r>
      <w:r w:rsidRPr="00F7078E">
        <w:t>Control methods include</w:t>
      </w:r>
      <w:r w:rsidR="003E1039">
        <w:t xml:space="preserve"> </w:t>
      </w:r>
      <w:r w:rsidRPr="00F7078E">
        <w:t>insecticide spray, use of insecticide-treated nets, environmental management</w:t>
      </w:r>
      <w:r w:rsidR="007E11E3">
        <w:t>,</w:t>
      </w:r>
      <w:r w:rsidRPr="00F7078E">
        <w:t xml:space="preserve"> and personal protection</w:t>
      </w:r>
      <w:r w:rsidR="003E1039" w:rsidRPr="003E1039">
        <w:t xml:space="preserve"> </w:t>
      </w:r>
      <w:r w:rsidR="003E1039">
        <w:t xml:space="preserve">(including </w:t>
      </w:r>
      <w:r w:rsidR="003E1039" w:rsidRPr="003E1039">
        <w:t>insect repellent on the skin</w:t>
      </w:r>
      <w:r w:rsidR="003E1039">
        <w:t>, and permethrin on uniforms and clothing)</w:t>
      </w:r>
      <w:r w:rsidRPr="00F7078E">
        <w:t>.</w:t>
      </w:r>
      <w:r w:rsidR="001E1161" w:rsidRPr="00BB22C7">
        <w:t xml:space="preserve"> </w:t>
      </w:r>
      <w:r w:rsidR="001D4EF2">
        <w:t>Seventy</w:t>
      </w:r>
      <w:r w:rsidR="00D8688C" w:rsidRPr="00D8688C">
        <w:t xml:space="preserve"> animal species, including humans, can be the source of </w:t>
      </w:r>
      <w:r w:rsidR="00D8688C" w:rsidRPr="00D8688C">
        <w:rPr>
          <w:i/>
          <w:iCs/>
        </w:rPr>
        <w:t>Leishmania</w:t>
      </w:r>
      <w:r w:rsidR="00D8688C" w:rsidRPr="00D8688C">
        <w:t> parasit</w:t>
      </w:r>
      <w:r w:rsidR="00D8688C">
        <w:t>es</w:t>
      </w:r>
      <w:bookmarkEnd w:id="61"/>
      <w:r w:rsidR="00D8688C" w:rsidRPr="00D8688C">
        <w:t>.</w:t>
      </w:r>
    </w:p>
    <w:p w14:paraId="58524819" w14:textId="77777777" w:rsidR="001E1161" w:rsidRDefault="001E1161" w:rsidP="0051520C"/>
    <w:p w14:paraId="67A4D5E6" w14:textId="5B987CE4" w:rsidR="001E1161" w:rsidRPr="00DC516C" w:rsidRDefault="001E1161" w:rsidP="00FD4769">
      <w:pPr>
        <w:pStyle w:val="Heading3"/>
      </w:pPr>
      <w:r w:rsidRPr="001575BC">
        <w:rPr>
          <w:highlight w:val="yellow"/>
        </w:rPr>
        <w:t xml:space="preserve">Sandfly </w:t>
      </w:r>
      <w:r w:rsidR="000D09F5" w:rsidRPr="001575BC">
        <w:rPr>
          <w:highlight w:val="yellow"/>
        </w:rPr>
        <w:t>Fever</w:t>
      </w:r>
    </w:p>
    <w:p w14:paraId="39AECB32" w14:textId="77777777" w:rsidR="001E1161" w:rsidRPr="00DC516C" w:rsidRDefault="001E1161" w:rsidP="0051520C"/>
    <w:p w14:paraId="01B6138F" w14:textId="23ACE7F5" w:rsidR="001E1161" w:rsidRDefault="001E1161" w:rsidP="0051520C">
      <w:bookmarkStart w:id="62" w:name="_Hlk137451250"/>
      <w:r w:rsidRPr="00DC516C">
        <w:t>Sand</w:t>
      </w:r>
      <w:r>
        <w:t>f</w:t>
      </w:r>
      <w:r w:rsidRPr="00DC516C">
        <w:t xml:space="preserve">ly </w:t>
      </w:r>
      <w:r w:rsidR="00D8688C">
        <w:t>fever (aka, Phlebotomus fever</w:t>
      </w:r>
      <w:r w:rsidR="00153BCF">
        <w:t xml:space="preserve">, </w:t>
      </w:r>
      <w:proofErr w:type="spellStart"/>
      <w:r w:rsidR="00153BCF">
        <w:t>Pappataci</w:t>
      </w:r>
      <w:proofErr w:type="spellEnd"/>
      <w:r w:rsidR="00153BCF">
        <w:t xml:space="preserve"> fever</w:t>
      </w:r>
      <w:r w:rsidR="00D8688C">
        <w:t xml:space="preserve">) </w:t>
      </w:r>
      <w:r w:rsidRPr="00DC516C">
        <w:t xml:space="preserve">is </w:t>
      </w:r>
      <w:r w:rsidR="00153BCF">
        <w:t xml:space="preserve">a vector-borne acute febrile illness </w:t>
      </w:r>
      <w:r w:rsidRPr="00DC516C">
        <w:t xml:space="preserve">transmitted by </w:t>
      </w:r>
      <w:r w:rsidR="00153BCF" w:rsidRPr="00153BCF">
        <w:t>phlebotomine sandflies</w:t>
      </w:r>
      <w:r w:rsidR="00153BCF">
        <w:t xml:space="preserve">. It </w:t>
      </w:r>
      <w:r w:rsidRPr="00DC516C">
        <w:t>occurs more commonly in children</w:t>
      </w:r>
      <w:r w:rsidR="00AB7078">
        <w:t>,</w:t>
      </w:r>
      <w:r w:rsidRPr="00DC516C">
        <w:t xml:space="preserve"> though adults are still at risk</w:t>
      </w:r>
      <w:r w:rsidR="00535D77">
        <w:t xml:space="preserve">. </w:t>
      </w:r>
      <w:r w:rsidR="00153BCF">
        <w:t>S</w:t>
      </w:r>
      <w:r w:rsidR="00153BCF" w:rsidRPr="00153BCF">
        <w:t xml:space="preserve">andfly fever </w:t>
      </w:r>
      <w:r w:rsidR="00153BCF">
        <w:t xml:space="preserve">is caused by viruses within the </w:t>
      </w:r>
      <w:r w:rsidR="00153BCF" w:rsidRPr="00153BCF">
        <w:t>Naples virus (SFNV) species</w:t>
      </w:r>
      <w:r w:rsidR="00981948">
        <w:t>.</w:t>
      </w:r>
      <w:r w:rsidR="00153BCF">
        <w:t xml:space="preserve"> </w:t>
      </w:r>
      <w:r w:rsidRPr="00DC516C">
        <w:t xml:space="preserve">Sandfly fever disease </w:t>
      </w:r>
      <w:r w:rsidR="00533E7B">
        <w:t xml:space="preserve">is a common viral illness that is </w:t>
      </w:r>
      <w:r w:rsidRPr="00DC516C">
        <w:t xml:space="preserve">typically </w:t>
      </w:r>
      <w:r w:rsidR="00533E7B">
        <w:t>a self-limited illness. While it can be debilitating</w:t>
      </w:r>
      <w:r w:rsidR="00BB37F7">
        <w:t>,</w:t>
      </w:r>
      <w:r w:rsidR="00533E7B">
        <w:t xml:space="preserve"> it is not lethal. </w:t>
      </w:r>
      <w:r w:rsidR="00153BCF">
        <w:t>There is no vaccine</w:t>
      </w:r>
      <w:r w:rsidR="00FD21F5">
        <w:t xml:space="preserve"> nor </w:t>
      </w:r>
      <w:r w:rsidR="00153BCF" w:rsidRPr="00153BCF">
        <w:t>specific therapy available</w:t>
      </w:r>
      <w:r w:rsidR="00153BCF">
        <w:t xml:space="preserve">, </w:t>
      </w:r>
      <w:r w:rsidR="00153BCF" w:rsidRPr="00153BCF">
        <w:t xml:space="preserve">and clinical management </w:t>
      </w:r>
      <w:r w:rsidR="00FD21F5">
        <w:t>consists of</w:t>
      </w:r>
      <w:r w:rsidR="00153BCF" w:rsidRPr="00153BCF">
        <w:t xml:space="preserve"> supportive</w:t>
      </w:r>
      <w:r w:rsidR="00FD21F5">
        <w:t xml:space="preserve"> care</w:t>
      </w:r>
      <w:r w:rsidR="00153BCF" w:rsidRPr="00153BCF">
        <w:t xml:space="preserve">. </w:t>
      </w:r>
      <w:r w:rsidR="000B6A4D">
        <w:t>P</w:t>
      </w:r>
      <w:r w:rsidR="000B6A4D" w:rsidRPr="000B6A4D">
        <w:t>reventi</w:t>
      </w:r>
      <w:r w:rsidR="000B6A4D">
        <w:t xml:space="preserve">ve measures include use of insecticides (spraying </w:t>
      </w:r>
      <w:r w:rsidR="000B6A4D" w:rsidRPr="000B6A4D">
        <w:t>breeding grounds</w:t>
      </w:r>
      <w:r w:rsidR="000B6A4D">
        <w:t xml:space="preserve">, </w:t>
      </w:r>
      <w:r w:rsidR="000B6A4D" w:rsidRPr="000B6A4D">
        <w:t>living/sleeping areas</w:t>
      </w:r>
      <w:r w:rsidR="000B6A4D">
        <w:t xml:space="preserve">, </w:t>
      </w:r>
      <w:r w:rsidR="000B6A4D" w:rsidRPr="000B6A4D">
        <w:t>screens and around doors and windows</w:t>
      </w:r>
      <w:r w:rsidR="000B6A4D">
        <w:t>); in</w:t>
      </w:r>
      <w:r w:rsidR="000B6A4D" w:rsidRPr="000B6A4D">
        <w:t>sect repellents on skin and uniform</w:t>
      </w:r>
      <w:r w:rsidR="00533E7B">
        <w:t>; a</w:t>
      </w:r>
      <w:r w:rsidR="000B6A4D" w:rsidRPr="000B6A4D">
        <w:t>voiding outdoor activities after dusk where possible</w:t>
      </w:r>
      <w:r w:rsidR="00533E7B">
        <w:t>; and c</w:t>
      </w:r>
      <w:r w:rsidR="000B6A4D" w:rsidRPr="000B6A4D">
        <w:t>overing skin with clothing where possible</w:t>
      </w:r>
      <w:r w:rsidR="00533E7B">
        <w:t xml:space="preserve">. </w:t>
      </w:r>
      <w:r w:rsidR="000B6A4D" w:rsidRPr="000B6A4D">
        <w:t xml:space="preserve">Mosquito nets may not be sufficient to prevent sandfly bites </w:t>
      </w:r>
      <w:r w:rsidR="000B6A4D">
        <w:t xml:space="preserve">as </w:t>
      </w:r>
      <w:r w:rsidR="000B6A4D" w:rsidRPr="000B6A4D">
        <w:t>sandflies are much smaller than mosquitoes</w:t>
      </w:r>
      <w:r w:rsidR="000B6A4D">
        <w:t xml:space="preserve"> and can pass through 18-mesh squares.</w:t>
      </w:r>
      <w:bookmarkStart w:id="63" w:name="_Hlk133231710"/>
      <w:r w:rsidR="00533E7B">
        <w:t xml:space="preserve"> </w:t>
      </w:r>
      <w:r w:rsidR="00533E7B" w:rsidRPr="00533E7B">
        <w:t xml:space="preserve">Note </w:t>
      </w:r>
      <w:r w:rsidR="00FD21F5">
        <w:t xml:space="preserve">that </w:t>
      </w:r>
      <w:r w:rsidR="00533E7B">
        <w:t xml:space="preserve">phlebotomine </w:t>
      </w:r>
      <w:r w:rsidR="00533E7B" w:rsidRPr="00533E7B">
        <w:t>sandflies transmit both Sandfly fever and Leishmaniasis</w:t>
      </w:r>
      <w:bookmarkEnd w:id="62"/>
      <w:r w:rsidR="00533E7B" w:rsidRPr="00533E7B">
        <w:t>.</w:t>
      </w:r>
    </w:p>
    <w:bookmarkEnd w:id="63"/>
    <w:p w14:paraId="608AC4D7" w14:textId="3C924D70" w:rsidR="004274D0" w:rsidRPr="00E97596" w:rsidRDefault="004274D0" w:rsidP="0051520C"/>
    <w:p w14:paraId="29717261" w14:textId="5B713D5E" w:rsidR="004274D0" w:rsidRPr="00AB5FAA" w:rsidRDefault="004274D0" w:rsidP="00FD4769">
      <w:pPr>
        <w:pStyle w:val="Heading3"/>
      </w:pPr>
      <w:r w:rsidRPr="001575BC">
        <w:rPr>
          <w:highlight w:val="yellow"/>
        </w:rPr>
        <w:t xml:space="preserve">West Nile </w:t>
      </w:r>
      <w:r w:rsidR="000D09F5" w:rsidRPr="001575BC">
        <w:rPr>
          <w:highlight w:val="yellow"/>
        </w:rPr>
        <w:t>Fever</w:t>
      </w:r>
    </w:p>
    <w:p w14:paraId="003DB734" w14:textId="77777777" w:rsidR="004274D0" w:rsidRPr="00AB5FAA" w:rsidRDefault="004274D0" w:rsidP="0051520C"/>
    <w:p w14:paraId="5AA9EFB3" w14:textId="335FDDF2" w:rsidR="004274D0" w:rsidRDefault="007E11E3" w:rsidP="0051520C">
      <w:bookmarkStart w:id="64" w:name="_Hlk137451266"/>
      <w:r>
        <w:t>West Nile fever</w:t>
      </w:r>
      <w:r w:rsidR="004274D0" w:rsidRPr="00AB5FAA">
        <w:t xml:space="preserve"> is</w:t>
      </w:r>
      <w:r>
        <w:t xml:space="preserve"> caused by</w:t>
      </w:r>
      <w:r w:rsidR="004274D0" w:rsidRPr="00AB5FAA">
        <w:t xml:space="preserve"> </w:t>
      </w:r>
      <w:r w:rsidR="00D8688C">
        <w:t xml:space="preserve">a flavivirus that is </w:t>
      </w:r>
      <w:r w:rsidR="004274D0" w:rsidRPr="00AB5FAA">
        <w:t>maintained in bird reservoirs and causes periodic outbreaks in humans and animals</w:t>
      </w:r>
      <w:r w:rsidR="00535D77">
        <w:t xml:space="preserve">. </w:t>
      </w:r>
      <w:r w:rsidR="004274D0">
        <w:t xml:space="preserve">Multiple species of </w:t>
      </w:r>
      <w:r w:rsidR="004274D0" w:rsidRPr="00984569">
        <w:rPr>
          <w:i/>
        </w:rPr>
        <w:t>Culex</w:t>
      </w:r>
      <w:r w:rsidR="004274D0">
        <w:t xml:space="preserve"> mosquitos can transmit the infection to humans</w:t>
      </w:r>
      <w:r w:rsidR="00535D77">
        <w:t xml:space="preserve">. </w:t>
      </w:r>
      <w:r w:rsidR="006A4D90" w:rsidRPr="00AB5FAA">
        <w:t xml:space="preserve">In many parts of the world, symptomatic cases are </w:t>
      </w:r>
      <w:r w:rsidR="00FE0675" w:rsidRPr="00AB5FAA">
        <w:t xml:space="preserve">typically </w:t>
      </w:r>
      <w:r w:rsidR="006A4D90" w:rsidRPr="00AB5FAA">
        <w:t>undiagnosed and unreported</w:t>
      </w:r>
      <w:r w:rsidR="006A4D90">
        <w:t xml:space="preserve">. </w:t>
      </w:r>
      <w:r w:rsidR="0D20F79A">
        <w:t>Most</w:t>
      </w:r>
      <w:r w:rsidR="004274D0" w:rsidRPr="00AB5FAA">
        <w:t xml:space="preserve"> infections in young, healthy adults are asymptomatic</w:t>
      </w:r>
      <w:r w:rsidR="00FE0675">
        <w:t>,</w:t>
      </w:r>
      <w:r w:rsidR="004274D0" w:rsidRPr="00F83550">
        <w:t xml:space="preserve"> although fever, headache, tiredness, body aches (occasionally with a skin rash on trunk of body), and swollen lymph glands can occur</w:t>
      </w:r>
      <w:r w:rsidR="00535D77">
        <w:t xml:space="preserve">. </w:t>
      </w:r>
      <w:r w:rsidR="006A4D90">
        <w:t xml:space="preserve">Older individuals and those with underlying medical conditions are at greater risk for severe disease </w:t>
      </w:r>
      <w:r w:rsidR="00D8688C">
        <w:t xml:space="preserve">(meningitis, </w:t>
      </w:r>
      <w:r w:rsidR="004863C0">
        <w:t>encephalitis, flaccid</w:t>
      </w:r>
      <w:r w:rsidR="00D8688C">
        <w:t xml:space="preserve"> </w:t>
      </w:r>
      <w:r w:rsidR="00D8688C">
        <w:lastRenderedPageBreak/>
        <w:t xml:space="preserve">paralysis) </w:t>
      </w:r>
      <w:r w:rsidR="006A4D90">
        <w:t xml:space="preserve">that may involve prolonged recovery. </w:t>
      </w:r>
      <w:r w:rsidR="004274D0" w:rsidRPr="0076263E">
        <w:t>A febrile illness</w:t>
      </w:r>
      <w:r w:rsidR="004274D0" w:rsidRPr="00AB5FAA">
        <w:t xml:space="preserve"> requiring 1</w:t>
      </w:r>
      <w:r w:rsidR="00F113D9">
        <w:rPr>
          <w:rFonts w:cs="Arial"/>
        </w:rPr>
        <w:t>–</w:t>
      </w:r>
      <w:r w:rsidR="004274D0" w:rsidRPr="00AB5FAA">
        <w:t>7 days of inpatient care</w:t>
      </w:r>
      <w:r w:rsidR="00F113D9">
        <w:t>,</w:t>
      </w:r>
      <w:r w:rsidR="004274D0" w:rsidRPr="00AB5FAA">
        <w:t xml:space="preserve"> followed by return to duty</w:t>
      </w:r>
      <w:r w:rsidR="004274D0">
        <w:t xml:space="preserve"> is typical.</w:t>
      </w:r>
      <w:r w:rsidR="00D8688C">
        <w:t xml:space="preserve"> Fatalities</w:t>
      </w:r>
      <w:r w:rsidR="00F113D9">
        <w:t>,</w:t>
      </w:r>
      <w:r w:rsidR="00D8688C">
        <w:t xml:space="preserve"> while rare, may </w:t>
      </w:r>
      <w:r w:rsidR="00CA7B4C">
        <w:t>occur</w:t>
      </w:r>
      <w:bookmarkEnd w:id="64"/>
      <w:r w:rsidR="00D8688C">
        <w:t>.</w:t>
      </w:r>
    </w:p>
    <w:p w14:paraId="414BEC8C" w14:textId="4A5C7683" w:rsidR="004274D0" w:rsidRDefault="004274D0" w:rsidP="0051520C"/>
    <w:p w14:paraId="375AC733" w14:textId="76A6D53A" w:rsidR="004274D0" w:rsidRPr="00E97596" w:rsidRDefault="004274D0" w:rsidP="00FD4769">
      <w:pPr>
        <w:pStyle w:val="Heading3"/>
      </w:pPr>
      <w:r w:rsidRPr="001575BC">
        <w:rPr>
          <w:highlight w:val="yellow"/>
        </w:rPr>
        <w:t xml:space="preserve">Typhus-murine </w:t>
      </w:r>
      <w:bookmarkStart w:id="65" w:name="Typhus-miteborne(scrubtyphus)"/>
      <w:r w:rsidRPr="001575BC">
        <w:rPr>
          <w:bCs/>
          <w:highlight w:val="yellow"/>
        </w:rPr>
        <w:t>(flea</w:t>
      </w:r>
      <w:r w:rsidR="00CA7B4C">
        <w:rPr>
          <w:bCs/>
          <w:highlight w:val="yellow"/>
        </w:rPr>
        <w:t>-</w:t>
      </w:r>
      <w:r w:rsidRPr="001575BC">
        <w:rPr>
          <w:bCs/>
          <w:highlight w:val="yellow"/>
        </w:rPr>
        <w:t>borne)</w:t>
      </w:r>
      <w:bookmarkEnd w:id="65"/>
    </w:p>
    <w:p w14:paraId="3098BB0E" w14:textId="77777777" w:rsidR="004274D0" w:rsidRPr="00E97596" w:rsidRDefault="004274D0" w:rsidP="0051520C"/>
    <w:p w14:paraId="6E4CE585" w14:textId="3F918EB3" w:rsidR="004274D0" w:rsidRDefault="004274D0" w:rsidP="0051520C">
      <w:bookmarkStart w:id="66" w:name="_Hlk137451283"/>
      <w:r w:rsidRPr="00E97596">
        <w:t>Flea</w:t>
      </w:r>
      <w:r w:rsidR="00D8688C">
        <w:t>-</w:t>
      </w:r>
      <w:r w:rsidRPr="00E97596">
        <w:t xml:space="preserve">borne typhus is a </w:t>
      </w:r>
      <w:r w:rsidR="00D8688C">
        <w:t xml:space="preserve">disease caused by </w:t>
      </w:r>
      <w:r w:rsidR="001D114A" w:rsidRPr="001D114A">
        <w:rPr>
          <w:i/>
          <w:iCs/>
        </w:rPr>
        <w:t>Rickettsia</w:t>
      </w:r>
      <w:r w:rsidR="00D8688C" w:rsidRPr="008E1FF3">
        <w:rPr>
          <w:i/>
          <w:iCs/>
        </w:rPr>
        <w:t xml:space="preserve"> typhi </w:t>
      </w:r>
      <w:r w:rsidR="00D8688C">
        <w:t xml:space="preserve">bacteria. It is a </w:t>
      </w:r>
      <w:r w:rsidRPr="00E97596">
        <w:t>significant cause of febrile illness in local populations that are exposed to rodents (particularly rats) and flea bites</w:t>
      </w:r>
      <w:r w:rsidR="006F3FFB">
        <w:t xml:space="preserve"> and </w:t>
      </w:r>
      <w:r w:rsidR="00655F88">
        <w:t>feces</w:t>
      </w:r>
      <w:r w:rsidR="00535D77">
        <w:t xml:space="preserve">. </w:t>
      </w:r>
      <w:r w:rsidRPr="00E97596">
        <w:t xml:space="preserve">Fleas can pass on the infection </w:t>
      </w:r>
      <w:proofErr w:type="spellStart"/>
      <w:r w:rsidRPr="00E97596">
        <w:t>transovarially</w:t>
      </w:r>
      <w:proofErr w:type="spellEnd"/>
      <w:r w:rsidRPr="00E97596">
        <w:t>, which helps maintain the cycle of infection</w:t>
      </w:r>
      <w:r w:rsidR="00535D77">
        <w:t>.</w:t>
      </w:r>
      <w:r w:rsidR="00D8688C">
        <w:t xml:space="preserve"> </w:t>
      </w:r>
      <w:r w:rsidR="009574DB" w:rsidRPr="009574DB">
        <w:t>Common symptoms include high fever, headache, chills, tiredness</w:t>
      </w:r>
      <w:r w:rsidR="00655F88">
        <w:t>,</w:t>
      </w:r>
      <w:r w:rsidR="009574DB" w:rsidRPr="009574DB">
        <w:t xml:space="preserve"> and muscle aches. About half of people who are infected develop a flat red rash that begins on the back, chest</w:t>
      </w:r>
      <w:r w:rsidR="00655F88">
        <w:t>,</w:t>
      </w:r>
      <w:r w:rsidR="009574DB" w:rsidRPr="009574DB">
        <w:t xml:space="preserve"> and stomach and then spreads to the rest of the body</w:t>
      </w:r>
      <w:r w:rsidR="00655F88">
        <w:t>,</w:t>
      </w:r>
      <w:r w:rsidR="009574DB" w:rsidRPr="009574DB">
        <w:t xml:space="preserve"> except for the face, palms</w:t>
      </w:r>
      <w:r w:rsidR="009E7D4C">
        <w:t>,</w:t>
      </w:r>
      <w:r w:rsidR="009574DB" w:rsidRPr="009574DB">
        <w:t xml:space="preserve"> and soles.</w:t>
      </w:r>
      <w:r w:rsidR="006F3FFB">
        <w:t xml:space="preserve"> </w:t>
      </w:r>
      <w:r w:rsidR="006F3FFB" w:rsidRPr="006F3FFB">
        <w:t xml:space="preserve">The disease can cause debilitating febrile illness typically requiring 1 to 7 days of supportive care, followed by return to duty. Treatment with an appropriate antibiotic is essential to prevent complications and fatalities. </w:t>
      </w:r>
      <w:r w:rsidR="006F3FFB">
        <w:t xml:space="preserve">Contact with fleas is prevented by using insect </w:t>
      </w:r>
      <w:r w:rsidR="001D114A">
        <w:t xml:space="preserve">and </w:t>
      </w:r>
      <w:r w:rsidR="006F3FFB">
        <w:t xml:space="preserve">rodent avoidance </w:t>
      </w:r>
      <w:r w:rsidR="00CE4550">
        <w:t>(e.g.,</w:t>
      </w:r>
      <w:r w:rsidR="006F3FFB">
        <w:t xml:space="preserve"> keeping areas free of trash, sealing up holes in dwellings, and trapping rats and mice</w:t>
      </w:r>
      <w:r w:rsidR="00CE4550">
        <w:t>)</w:t>
      </w:r>
      <w:r w:rsidR="006F3FFB">
        <w:t xml:space="preserve">. </w:t>
      </w:r>
      <w:r w:rsidR="006F3FFB" w:rsidRPr="006F3FFB">
        <w:t>There is no vaccine to prevent flea-borne typhus</w:t>
      </w:r>
      <w:bookmarkEnd w:id="66"/>
      <w:r w:rsidR="006F3FFB">
        <w:t>.</w:t>
      </w:r>
    </w:p>
    <w:p w14:paraId="2CB1389A" w14:textId="25D54410" w:rsidR="00EF33FD" w:rsidRDefault="00EF33FD" w:rsidP="0051520C"/>
    <w:p w14:paraId="17201C99" w14:textId="27698E08" w:rsidR="00EF33FD" w:rsidRPr="00C36D69" w:rsidRDefault="003B6571" w:rsidP="00FD4769">
      <w:pPr>
        <w:pStyle w:val="Heading3"/>
        <w:rPr>
          <w:bCs/>
        </w:rPr>
      </w:pPr>
      <w:r w:rsidRPr="00C36D69">
        <w:rPr>
          <w:highlight w:val="yellow"/>
        </w:rPr>
        <w:t>Typhus-mite born</w:t>
      </w:r>
      <w:r w:rsidR="00C36D69" w:rsidRPr="00C36D69">
        <w:rPr>
          <w:highlight w:val="yellow"/>
        </w:rPr>
        <w:t>e</w:t>
      </w:r>
      <w:r w:rsidRPr="00C36D69">
        <w:rPr>
          <w:highlight w:val="yellow"/>
        </w:rPr>
        <w:t xml:space="preserve"> </w:t>
      </w:r>
      <w:r w:rsidRPr="00C36D69">
        <w:rPr>
          <w:bCs/>
          <w:highlight w:val="yellow"/>
        </w:rPr>
        <w:t>(</w:t>
      </w:r>
      <w:r w:rsidR="00C36D69" w:rsidRPr="00C36D69">
        <w:rPr>
          <w:bCs/>
          <w:highlight w:val="yellow"/>
        </w:rPr>
        <w:t>scrub typhus)</w:t>
      </w:r>
    </w:p>
    <w:p w14:paraId="5E70363B" w14:textId="11DD5233" w:rsidR="003B6571" w:rsidRDefault="003B6571" w:rsidP="003B6571">
      <w:pPr>
        <w:rPr>
          <w:highlight w:val="yellow"/>
        </w:rPr>
      </w:pPr>
    </w:p>
    <w:p w14:paraId="72A71D0E" w14:textId="2A5D4279" w:rsidR="003B6571" w:rsidRPr="003B6571" w:rsidRDefault="003B6571" w:rsidP="006F3FFB">
      <w:pPr>
        <w:rPr>
          <w:highlight w:val="yellow"/>
        </w:rPr>
      </w:pPr>
      <w:r>
        <w:t>Mite</w:t>
      </w:r>
      <w:r w:rsidR="009574DB">
        <w:t>-</w:t>
      </w:r>
      <w:r>
        <w:t xml:space="preserve">borne typhus is a </w:t>
      </w:r>
      <w:r w:rsidR="009574DB" w:rsidRPr="009574DB">
        <w:t>disease caused by a bacteri</w:t>
      </w:r>
      <w:r w:rsidR="009E7D4C">
        <w:t>um</w:t>
      </w:r>
      <w:r w:rsidR="009574DB" w:rsidRPr="009574DB">
        <w:t xml:space="preserve"> called </w:t>
      </w:r>
      <w:proofErr w:type="spellStart"/>
      <w:r w:rsidR="009574DB" w:rsidRPr="009E7D4C">
        <w:rPr>
          <w:i/>
          <w:iCs/>
        </w:rPr>
        <w:t>Orientia</w:t>
      </w:r>
      <w:proofErr w:type="spellEnd"/>
      <w:r w:rsidR="009574DB" w:rsidRPr="009E7D4C">
        <w:rPr>
          <w:i/>
          <w:iCs/>
        </w:rPr>
        <w:t xml:space="preserve"> tsutsugamushi</w:t>
      </w:r>
      <w:r w:rsidR="009574DB" w:rsidRPr="009574DB">
        <w:t xml:space="preserve">. Scrub typhus is spread to people through bites of infected chiggers (larval mites). </w:t>
      </w:r>
      <w:r w:rsidR="009574DB">
        <w:t xml:space="preserve">It is a </w:t>
      </w:r>
      <w:r>
        <w:t>significant cause of febrile illness in local, rural populations that are exposed to trombiculid mites (chiggers) in their larval stage. These mites are typically found in areas of grassy or scrubby vegetation, often in areas which have undergone clearing and regrowth. Habitats vary widely and include sandy beaches, mountain deserts, cultivated rice fields, and rain forests. The disease can cause debilitating febrile illness typically requiring 1 to 7 days of supportive care, followed by return to duty.</w:t>
      </w:r>
      <w:r w:rsidR="009574DB" w:rsidRPr="009574DB">
        <w:t xml:space="preserve"> The most common symptoms of scrub typhus include fever, headache, body aches, and sometimes rash. People with severe illness may develop organ failure and bleeding, which can be fatal if left untreated.</w:t>
      </w:r>
      <w:r w:rsidR="006F3FFB" w:rsidRPr="006F3FFB">
        <w:t xml:space="preserve"> </w:t>
      </w:r>
      <w:r w:rsidR="006F3FFB">
        <w:t>Antibiotics are most effective if given soon after symptoms begin. Those who are treated early usually recover quickly. No vaccine is available to prevent scrub typhus. Prevention is by using insect repellent and treated clothing.</w:t>
      </w:r>
    </w:p>
    <w:p w14:paraId="04356E31" w14:textId="77777777" w:rsidR="00EF33FD" w:rsidRPr="00EF33FD" w:rsidRDefault="00EF33FD" w:rsidP="00EF33FD">
      <w:pPr>
        <w:rPr>
          <w:highlight w:val="yellow"/>
        </w:rPr>
      </w:pPr>
    </w:p>
    <w:p w14:paraId="56D345AA" w14:textId="7B9B7D3A" w:rsidR="00D9106C" w:rsidRPr="00C36D69" w:rsidRDefault="00D9106C" w:rsidP="00FD4769">
      <w:pPr>
        <w:pStyle w:val="Heading3"/>
      </w:pPr>
      <w:r w:rsidRPr="00C36D69">
        <w:rPr>
          <w:highlight w:val="yellow"/>
        </w:rPr>
        <w:t>Malaria</w:t>
      </w:r>
      <w:r w:rsidRPr="00C36D69">
        <w:t xml:space="preserve"> </w:t>
      </w:r>
    </w:p>
    <w:p w14:paraId="02247310" w14:textId="77777777" w:rsidR="00D9106C" w:rsidRPr="00D9106C" w:rsidRDefault="00D9106C" w:rsidP="002F0040">
      <w:pPr>
        <w:rPr>
          <w:highlight w:val="yellow"/>
        </w:rPr>
      </w:pPr>
    </w:p>
    <w:p w14:paraId="4B5EDA4B" w14:textId="5EC911EA" w:rsidR="00D9106C" w:rsidRDefault="006F3FFB" w:rsidP="002F0040">
      <w:bookmarkStart w:id="67" w:name="_Hlk137451300"/>
      <w:r w:rsidRPr="006F3FFB">
        <w:t xml:space="preserve">Malaria is a mosquito-borne disease caused by </w:t>
      </w:r>
      <w:r w:rsidR="004863C0" w:rsidRPr="004863C0">
        <w:rPr>
          <w:i/>
          <w:iCs/>
        </w:rPr>
        <w:t>Plasmodium</w:t>
      </w:r>
      <w:r>
        <w:t xml:space="preserve"> </w:t>
      </w:r>
      <w:r w:rsidRPr="006F3FFB">
        <w:t>parasite</w:t>
      </w:r>
      <w:r>
        <w:t xml:space="preserve">s of several different </w:t>
      </w:r>
      <w:r w:rsidR="00E7503C">
        <w:t>species (</w:t>
      </w:r>
      <w:r w:rsidR="00E7503C" w:rsidRPr="009E7D4C">
        <w:rPr>
          <w:i/>
          <w:iCs/>
        </w:rPr>
        <w:t xml:space="preserve">P. falciparum, P. vivax, P. </w:t>
      </w:r>
      <w:proofErr w:type="spellStart"/>
      <w:r w:rsidR="00E7503C" w:rsidRPr="009E7D4C">
        <w:rPr>
          <w:i/>
          <w:iCs/>
        </w:rPr>
        <w:t>ovale</w:t>
      </w:r>
      <w:proofErr w:type="spellEnd"/>
      <w:r w:rsidR="00E7503C">
        <w:t xml:space="preserve">); the most serious is </w:t>
      </w:r>
      <w:r w:rsidR="00E7503C" w:rsidRPr="009E7D4C">
        <w:rPr>
          <w:i/>
          <w:iCs/>
        </w:rPr>
        <w:t>P. falciparum</w:t>
      </w:r>
      <w:r w:rsidR="00E7503C">
        <w:t xml:space="preserve">. The female </w:t>
      </w:r>
      <w:r w:rsidR="00E7503C" w:rsidRPr="007A3A8A">
        <w:rPr>
          <w:i/>
          <w:iCs/>
        </w:rPr>
        <w:t>Anopheles</w:t>
      </w:r>
      <w:r w:rsidR="00E7503C">
        <w:t xml:space="preserve"> mosquito bites to take a blood meal for its egg production. </w:t>
      </w:r>
      <w:r w:rsidR="00D9106C" w:rsidRPr="001575BC">
        <w:t>Malaria incidents are often associated with the presence of agriculture activity, including irrigation systems and standing water, which provide breeding habitats for vectors</w:t>
      </w:r>
      <w:r w:rsidR="00807C50" w:rsidRPr="001575BC">
        <w:t xml:space="preserve">. </w:t>
      </w:r>
      <w:r>
        <w:t>Cases</w:t>
      </w:r>
      <w:r w:rsidR="00D9106C" w:rsidRPr="001575BC">
        <w:t xml:space="preserve"> may occur among personnel </w:t>
      </w:r>
      <w:r w:rsidR="00CA7B4C">
        <w:t xml:space="preserve">when </w:t>
      </w:r>
      <w:r w:rsidR="00D9106C" w:rsidRPr="001575BC">
        <w:t xml:space="preserve">exposed to </w:t>
      </w:r>
      <w:r>
        <w:t xml:space="preserve">infected </w:t>
      </w:r>
      <w:r w:rsidR="00E7503C" w:rsidRPr="009E7D4C">
        <w:rPr>
          <w:i/>
          <w:iCs/>
        </w:rPr>
        <w:t>Anopheles</w:t>
      </w:r>
      <w:r w:rsidR="00E7503C">
        <w:t xml:space="preserve">. Prevention requires the use of </w:t>
      </w:r>
      <w:r w:rsidR="006A4D90">
        <w:t xml:space="preserve">chemoprophylaxis, treated bed netting, treated uniforms/clothing, </w:t>
      </w:r>
      <w:r w:rsidR="00E7503C">
        <w:t>and</w:t>
      </w:r>
      <w:r w:rsidR="006A4D90">
        <w:t xml:space="preserve"> insect repellents</w:t>
      </w:r>
      <w:r w:rsidR="00807C50" w:rsidRPr="001575BC">
        <w:t xml:space="preserve">. </w:t>
      </w:r>
      <w:r w:rsidR="00D9106C" w:rsidRPr="001575BC">
        <w:t>Malaria in</w:t>
      </w:r>
      <w:r w:rsidR="00E7503C">
        <w:t xml:space="preserve">fection </w:t>
      </w:r>
      <w:r w:rsidR="00D9106C" w:rsidRPr="001575BC">
        <w:t>may cause debilitating febrile illness typically requiring 1 to 7 days of inpatient care, followed by return to duty</w:t>
      </w:r>
      <w:r w:rsidR="00807C50" w:rsidRPr="001575BC">
        <w:t xml:space="preserve">. </w:t>
      </w:r>
      <w:r w:rsidR="00D9106C" w:rsidRPr="001575BC">
        <w:t>Severe cases may require intensive care or prolonged convalescence.</w:t>
      </w:r>
      <w:r w:rsidR="00E7503C" w:rsidRPr="00E7503C">
        <w:t xml:space="preserve"> </w:t>
      </w:r>
      <w:r w:rsidR="00E7503C">
        <w:t xml:space="preserve">Fatalities may occur, mostly with </w:t>
      </w:r>
      <w:r w:rsidR="00CA7B4C" w:rsidRPr="009E7D4C">
        <w:rPr>
          <w:i/>
          <w:iCs/>
        </w:rPr>
        <w:t xml:space="preserve">P. </w:t>
      </w:r>
      <w:r w:rsidR="00E7503C" w:rsidRPr="009E7D4C">
        <w:rPr>
          <w:i/>
          <w:iCs/>
        </w:rPr>
        <w:t>falciparum</w:t>
      </w:r>
      <w:r w:rsidR="00E7503C">
        <w:t xml:space="preserve"> malaria without treatment. E</w:t>
      </w:r>
      <w:r w:rsidR="00E7503C" w:rsidRPr="00E7503C">
        <w:t>mergence of resistance to chemoprophylactic drugs has become widespread.</w:t>
      </w:r>
      <w:r w:rsidR="00E7503C">
        <w:t xml:space="preserve"> </w:t>
      </w:r>
      <w:r w:rsidR="00CA7B4C">
        <w:t>A vaccine is not available; however, t</w:t>
      </w:r>
      <w:r w:rsidR="00E7503C">
        <w:t xml:space="preserve">reatment is </w:t>
      </w:r>
      <w:r w:rsidR="002911E3">
        <w:t xml:space="preserve">usually </w:t>
      </w:r>
      <w:r w:rsidR="00E7503C">
        <w:t>effective</w:t>
      </w:r>
      <w:bookmarkEnd w:id="67"/>
      <w:r w:rsidR="00E7503C">
        <w:t>.</w:t>
      </w:r>
      <w:r w:rsidR="002911E3">
        <w:t xml:space="preserve"> </w:t>
      </w:r>
    </w:p>
    <w:p w14:paraId="10E952E8" w14:textId="77777777" w:rsidR="00D9106C" w:rsidRDefault="00D9106C" w:rsidP="002F0040"/>
    <w:p w14:paraId="621E48B9" w14:textId="1E56DC8C" w:rsidR="00D9106C" w:rsidRPr="00C36D69" w:rsidRDefault="00D9106C" w:rsidP="00FD4769">
      <w:pPr>
        <w:pStyle w:val="Heading3"/>
      </w:pPr>
      <w:r w:rsidRPr="00C36D69">
        <w:rPr>
          <w:highlight w:val="yellow"/>
        </w:rPr>
        <w:lastRenderedPageBreak/>
        <w:t>Dengue Fever</w:t>
      </w:r>
      <w:r w:rsidR="00C36D69" w:rsidRPr="00C36D69">
        <w:t xml:space="preserve"> </w:t>
      </w:r>
    </w:p>
    <w:p w14:paraId="3ED8D51F" w14:textId="77777777" w:rsidR="00D9106C" w:rsidRPr="00D9106C" w:rsidRDefault="00D9106C" w:rsidP="002F0040">
      <w:pPr>
        <w:rPr>
          <w:highlight w:val="yellow"/>
        </w:rPr>
      </w:pPr>
    </w:p>
    <w:p w14:paraId="1F74E007" w14:textId="4146B20F" w:rsidR="00D9106C" w:rsidRDefault="00D9106C" w:rsidP="002F0040">
      <w:r w:rsidRPr="001575BC">
        <w:t xml:space="preserve">Dengue fever is transmitted by </w:t>
      </w:r>
      <w:r w:rsidR="002911E3">
        <w:t xml:space="preserve">infected </w:t>
      </w:r>
      <w:r w:rsidRPr="002448F1">
        <w:rPr>
          <w:i/>
        </w:rPr>
        <w:t>Aedes</w:t>
      </w:r>
      <w:r w:rsidRPr="001575BC">
        <w:t xml:space="preserve"> </w:t>
      </w:r>
      <w:r w:rsidRPr="003C6D53">
        <w:rPr>
          <w:i/>
          <w:iCs/>
        </w:rPr>
        <w:t>spp</w:t>
      </w:r>
      <w:r w:rsidR="006971C1">
        <w:rPr>
          <w:i/>
          <w:iCs/>
        </w:rPr>
        <w:t>.</w:t>
      </w:r>
      <w:r w:rsidR="002911E3">
        <w:rPr>
          <w:i/>
          <w:iCs/>
        </w:rPr>
        <w:t xml:space="preserve"> </w:t>
      </w:r>
      <w:r w:rsidR="00085E91">
        <w:rPr>
          <w:i/>
          <w:iCs/>
        </w:rPr>
        <w:t>M</w:t>
      </w:r>
      <w:r w:rsidR="002911E3">
        <w:rPr>
          <w:i/>
          <w:iCs/>
        </w:rPr>
        <w:t>osquitoes</w:t>
      </w:r>
      <w:r w:rsidR="00085E91">
        <w:rPr>
          <w:i/>
          <w:iCs/>
        </w:rPr>
        <w:t>,</w:t>
      </w:r>
      <w:r w:rsidR="00CA7B4C">
        <w:rPr>
          <w:i/>
          <w:iCs/>
        </w:rPr>
        <w:t xml:space="preserve"> </w:t>
      </w:r>
      <w:r w:rsidR="00CA7B4C" w:rsidRPr="007C6247">
        <w:t>which are</w:t>
      </w:r>
      <w:r w:rsidR="00CA7B4C" w:rsidRPr="00CA7B4C">
        <w:t xml:space="preserve"> </w:t>
      </w:r>
      <w:r w:rsidR="00CA7B4C" w:rsidRPr="001575BC">
        <w:t>day-biting mosquitos that often breed in artificial containers such as flowerpots or discarded tires.</w:t>
      </w:r>
      <w:r w:rsidR="00CA7B4C">
        <w:rPr>
          <w:i/>
          <w:iCs/>
        </w:rPr>
        <w:t xml:space="preserve"> </w:t>
      </w:r>
      <w:r w:rsidR="002911E3" w:rsidRPr="002911E3">
        <w:t>These mosquitoes also spread Zika, chikungunya, and other viruses.</w:t>
      </w:r>
      <w:r w:rsidR="002911E3">
        <w:t xml:space="preserve"> </w:t>
      </w:r>
      <w:r w:rsidR="00057419">
        <w:t>Dengue is a flavivirus</w:t>
      </w:r>
      <w:r w:rsidR="006971C1">
        <w:t xml:space="preserve"> that</w:t>
      </w:r>
      <w:r w:rsidR="007C6247">
        <w:t xml:space="preserve"> causes health outcomes that</w:t>
      </w:r>
      <w:r w:rsidR="006971C1">
        <w:t xml:space="preserve"> </w:t>
      </w:r>
      <w:r w:rsidR="002911E3" w:rsidRPr="002911E3">
        <w:t>can range from asymptomatic infection or mild illness to severe disease.</w:t>
      </w:r>
      <w:r w:rsidR="002911E3">
        <w:t xml:space="preserve"> The spectrum of disease is dengue fever and severe dengue (dengue hemorrhagic fever and dengue shock syndrome). </w:t>
      </w:r>
      <w:r w:rsidR="006971C1">
        <w:t xml:space="preserve">Dengue </w:t>
      </w:r>
      <w:r w:rsidR="007C6247">
        <w:t xml:space="preserve">infection </w:t>
      </w:r>
      <w:r w:rsidR="006971C1">
        <w:t>may require 1</w:t>
      </w:r>
      <w:r w:rsidR="00762925">
        <w:rPr>
          <w:rFonts w:cs="Arial"/>
        </w:rPr>
        <w:t>–</w:t>
      </w:r>
      <w:r w:rsidR="006971C1">
        <w:t>7 days of inpatient care; however,</w:t>
      </w:r>
      <w:r w:rsidR="007C6247">
        <w:t xml:space="preserve"> s</w:t>
      </w:r>
      <w:r w:rsidR="002911E3" w:rsidRPr="002911E3">
        <w:t>evere dengue is a medical emergency</w:t>
      </w:r>
      <w:r w:rsidR="002911E3">
        <w:t xml:space="preserve"> that </w:t>
      </w:r>
      <w:r w:rsidR="002911E3" w:rsidRPr="002911E3">
        <w:t>requires immediate medical care at a clinic or hospital.</w:t>
      </w:r>
      <w:r w:rsidR="002911E3">
        <w:t xml:space="preserve"> </w:t>
      </w:r>
      <w:r w:rsidR="002911E3" w:rsidRPr="002911E3">
        <w:t>There is no specific medic</w:t>
      </w:r>
      <w:r w:rsidR="002911E3">
        <w:t xml:space="preserve">ation </w:t>
      </w:r>
      <w:r w:rsidR="002911E3" w:rsidRPr="002911E3">
        <w:t>to treat dengue</w:t>
      </w:r>
      <w:r w:rsidR="002911E3">
        <w:t xml:space="preserve"> infection</w:t>
      </w:r>
      <w:r w:rsidR="002911E3" w:rsidRPr="002911E3">
        <w:t>.</w:t>
      </w:r>
      <w:r w:rsidR="002911E3">
        <w:t xml:space="preserve"> </w:t>
      </w:r>
      <w:r w:rsidR="002911E3" w:rsidRPr="002911E3">
        <w:t>A vaccine to prevent dengue is licensed and available in some countries for people aged 9 to 45 years</w:t>
      </w:r>
      <w:r w:rsidR="00085E91">
        <w:t>; however, the vaccine</w:t>
      </w:r>
      <w:r w:rsidR="002911E3">
        <w:t xml:space="preserve"> should </w:t>
      </w:r>
      <w:r w:rsidR="002911E3" w:rsidRPr="002911E3">
        <w:t>only be given to persons with confirmed previous dengue virus infection</w:t>
      </w:r>
      <w:r w:rsidR="002911E3">
        <w:t xml:space="preserve"> </w:t>
      </w:r>
      <w:r w:rsidR="006971C1">
        <w:t xml:space="preserve">and </w:t>
      </w:r>
      <w:r w:rsidR="002911E3">
        <w:t xml:space="preserve">not </w:t>
      </w:r>
      <w:r w:rsidR="006971C1">
        <w:t>to</w:t>
      </w:r>
      <w:r w:rsidR="002911E3">
        <w:t xml:space="preserve"> those who have never had dengue</w:t>
      </w:r>
      <w:r w:rsidR="002911E3" w:rsidRPr="002911E3">
        <w:t>.</w:t>
      </w:r>
      <w:r w:rsidR="002911E3">
        <w:t xml:space="preserve"> If </w:t>
      </w:r>
      <w:r w:rsidR="002911E3" w:rsidRPr="002911E3">
        <w:t>traveling to areas with risk of dengue</w:t>
      </w:r>
      <w:r w:rsidR="006971C1">
        <w:t>,</w:t>
      </w:r>
      <w:r w:rsidR="002911E3" w:rsidRPr="002911E3">
        <w:t xml:space="preserve"> steps </w:t>
      </w:r>
      <w:r w:rsidR="002911E3">
        <w:t xml:space="preserve">should be taken </w:t>
      </w:r>
      <w:r w:rsidR="002911E3" w:rsidRPr="002911E3">
        <w:t xml:space="preserve">to avoid mosquito bites. Dengue is caused by one of any of four related viruses: Dengue virus 1, 2, 3, and 4. </w:t>
      </w:r>
      <w:r w:rsidR="00085E91" w:rsidRPr="002911E3">
        <w:t>Therefore</w:t>
      </w:r>
      <w:r w:rsidR="002911E3" w:rsidRPr="002911E3">
        <w:t>, a person can be infected with a dengue virus as many as four times in his or her lifetime.</w:t>
      </w:r>
    </w:p>
    <w:p w14:paraId="61C3373F" w14:textId="77777777" w:rsidR="00D9106C" w:rsidRDefault="00D9106C" w:rsidP="002F0040"/>
    <w:p w14:paraId="192B4966" w14:textId="602D8853" w:rsidR="00D9106C" w:rsidRPr="00C36D69" w:rsidRDefault="00D9106C" w:rsidP="00FD4769">
      <w:pPr>
        <w:pStyle w:val="Heading3"/>
        <w:rPr>
          <w:iCs/>
        </w:rPr>
      </w:pPr>
      <w:r w:rsidRPr="00C36D69">
        <w:rPr>
          <w:highlight w:val="yellow"/>
        </w:rPr>
        <w:t>Yellow Fever</w:t>
      </w:r>
    </w:p>
    <w:p w14:paraId="2CAB9BE8" w14:textId="77777777" w:rsidR="00D9106C" w:rsidRPr="00D9106C" w:rsidRDefault="00D9106C" w:rsidP="002F0040">
      <w:pPr>
        <w:rPr>
          <w:highlight w:val="yellow"/>
        </w:rPr>
      </w:pPr>
    </w:p>
    <w:p w14:paraId="4E88E28E" w14:textId="36429DD6" w:rsidR="00D9106C" w:rsidRPr="001575BC" w:rsidRDefault="00D9106C" w:rsidP="00057419">
      <w:r w:rsidRPr="001575BC">
        <w:t>Yellow fever is transmitted by</w:t>
      </w:r>
      <w:r w:rsidR="00057419">
        <w:t xml:space="preserve"> infected </w:t>
      </w:r>
      <w:r w:rsidRPr="001575BC">
        <w:rPr>
          <w:i/>
        </w:rPr>
        <w:t>Aedes</w:t>
      </w:r>
      <w:r w:rsidRPr="001575BC">
        <w:t xml:space="preserve"> </w:t>
      </w:r>
      <w:r w:rsidRPr="004212C1">
        <w:rPr>
          <w:i/>
          <w:iCs/>
        </w:rPr>
        <w:t>spp</w:t>
      </w:r>
      <w:r w:rsidRPr="001575BC">
        <w:t xml:space="preserve">. and other mosquitos </w:t>
      </w:r>
      <w:r w:rsidR="00057419">
        <w:t xml:space="preserve">(e.g., </w:t>
      </w:r>
      <w:proofErr w:type="spellStart"/>
      <w:r w:rsidR="00057419" w:rsidRPr="007C6247">
        <w:rPr>
          <w:i/>
          <w:iCs/>
        </w:rPr>
        <w:t>Haemogogus</w:t>
      </w:r>
      <w:proofErr w:type="spellEnd"/>
      <w:r w:rsidR="00057419" w:rsidRPr="007C6247">
        <w:rPr>
          <w:i/>
          <w:iCs/>
        </w:rPr>
        <w:t xml:space="preserve"> spp</w:t>
      </w:r>
      <w:r w:rsidR="006971C1">
        <w:rPr>
          <w:i/>
          <w:iCs/>
        </w:rPr>
        <w:t>.</w:t>
      </w:r>
      <w:r w:rsidR="00057419">
        <w:t xml:space="preserve">) that </w:t>
      </w:r>
      <w:r w:rsidRPr="001575BC">
        <w:t>may transmit infection between primates and humans</w:t>
      </w:r>
      <w:r w:rsidR="00807C50" w:rsidRPr="001575BC">
        <w:t xml:space="preserve">. </w:t>
      </w:r>
      <w:r w:rsidR="00057419" w:rsidRPr="00057419">
        <w:t>The different mosquito species live in different habitats</w:t>
      </w:r>
      <w:r w:rsidR="009358F5">
        <w:rPr>
          <w:rFonts w:cs="Arial"/>
        </w:rPr>
        <w:t>—</w:t>
      </w:r>
      <w:r w:rsidR="00057419" w:rsidRPr="00057419">
        <w:t xml:space="preserve">some breed around houses (domestic), others in the jungle (wild), and some in both habitats (semi-domestic). </w:t>
      </w:r>
      <w:r w:rsidR="00057419">
        <w:t>Y</w:t>
      </w:r>
      <w:r w:rsidR="00057419" w:rsidRPr="00057419">
        <w:t>ellow fever is an acute viral hemorrhagic disease</w:t>
      </w:r>
      <w:r w:rsidR="00886436">
        <w:t xml:space="preserve"> caused by a </w:t>
      </w:r>
      <w:r w:rsidR="00057419">
        <w:t xml:space="preserve">flavivirus. </w:t>
      </w:r>
      <w:r w:rsidRPr="001575BC">
        <w:t>Yellow fever is a potentially severe disease that may require intensive care</w:t>
      </w:r>
      <w:r w:rsidR="00807C50" w:rsidRPr="001575BC">
        <w:t xml:space="preserve">. </w:t>
      </w:r>
      <w:r w:rsidRPr="001575BC">
        <w:t>Mortality rates may be 20</w:t>
      </w:r>
      <w:r w:rsidR="00015FF7">
        <w:rPr>
          <w:rFonts w:cs="Arial"/>
        </w:rPr>
        <w:t>–</w:t>
      </w:r>
      <w:r w:rsidRPr="001575BC">
        <w:t>80% in hemorrhagic cases.</w:t>
      </w:r>
      <w:r w:rsidR="00057419">
        <w:t xml:space="preserve"> </w:t>
      </w:r>
      <w:r w:rsidR="00057419" w:rsidRPr="00057419">
        <w:t>Yellow fever is prevented by an extremely effective</w:t>
      </w:r>
      <w:r w:rsidR="00057419">
        <w:t xml:space="preserve"> and safe</w:t>
      </w:r>
      <w:r w:rsidR="00057419" w:rsidRPr="00057419">
        <w:t xml:space="preserve"> vaccine. A single dose of yellow fever vaccine is sufficient to grant sustained immunity and life-long protection against yellow fever disease</w:t>
      </w:r>
      <w:r w:rsidR="006971C1">
        <w:t>, and a</w:t>
      </w:r>
      <w:r w:rsidR="00057419" w:rsidRPr="00057419">
        <w:t xml:space="preserve"> booster dose of the vaccine is not needed. </w:t>
      </w:r>
      <w:r w:rsidR="00057419">
        <w:t>In those who become infected, g</w:t>
      </w:r>
      <w:r w:rsidR="00057419" w:rsidRPr="00057419">
        <w:t xml:space="preserve">ood supportive treatment in hospitals improves survival rates. There is currently no specific anti-viral drug for yellow fever. </w:t>
      </w:r>
    </w:p>
    <w:p w14:paraId="7468422A" w14:textId="77777777" w:rsidR="00D9106C" w:rsidRPr="00D9106C" w:rsidRDefault="00D9106C" w:rsidP="002F0040">
      <w:pPr>
        <w:rPr>
          <w:highlight w:val="yellow"/>
        </w:rPr>
      </w:pPr>
    </w:p>
    <w:p w14:paraId="5EBF4AA1" w14:textId="0C17D6AC" w:rsidR="00D9106C" w:rsidRPr="00C36D69" w:rsidRDefault="00D9106C" w:rsidP="00FD4769">
      <w:pPr>
        <w:pStyle w:val="Heading3"/>
      </w:pPr>
      <w:r w:rsidRPr="00C36D69">
        <w:rPr>
          <w:highlight w:val="yellow"/>
        </w:rPr>
        <w:t>Chikungunya</w:t>
      </w:r>
    </w:p>
    <w:p w14:paraId="6B9EE89D" w14:textId="77777777" w:rsidR="00D9106C" w:rsidRPr="00D9106C" w:rsidRDefault="00D9106C" w:rsidP="002F0040">
      <w:pPr>
        <w:rPr>
          <w:highlight w:val="yellow"/>
        </w:rPr>
      </w:pPr>
    </w:p>
    <w:p w14:paraId="4A4EBEFA" w14:textId="34ADF9AD" w:rsidR="00D9106C" w:rsidRPr="001575BC" w:rsidRDefault="00D9106C" w:rsidP="002F0040">
      <w:r w:rsidRPr="001575BC">
        <w:t>Chikungunya is transmitted primarily by</w:t>
      </w:r>
      <w:r w:rsidR="00057419">
        <w:t xml:space="preserve"> infected</w:t>
      </w:r>
      <w:r w:rsidRPr="001575BC">
        <w:t xml:space="preserve"> </w:t>
      </w:r>
      <w:r w:rsidRPr="001575BC">
        <w:rPr>
          <w:i/>
        </w:rPr>
        <w:t xml:space="preserve">Aedes aegypti </w:t>
      </w:r>
      <w:r w:rsidRPr="001575BC">
        <w:t xml:space="preserve">(a morning- and evening biting mosquito), and possibly </w:t>
      </w:r>
      <w:r w:rsidRPr="001575BC">
        <w:rPr>
          <w:i/>
        </w:rPr>
        <w:t>Aedes albopictus</w:t>
      </w:r>
      <w:r w:rsidRPr="001575BC">
        <w:t xml:space="preserve"> (a day biting mosquito</w:t>
      </w:r>
      <w:r w:rsidR="0041478C">
        <w:t xml:space="preserve">). </w:t>
      </w:r>
      <w:r w:rsidRPr="001575BC">
        <w:t>Chikungunya causes a debilitating febrile illness typically requiring 1</w:t>
      </w:r>
      <w:r w:rsidR="00345B4B">
        <w:rPr>
          <w:rFonts w:cs="Arial"/>
        </w:rPr>
        <w:t>–</w:t>
      </w:r>
      <w:r w:rsidRPr="001575BC">
        <w:t>7 days of inpatient care, followed by return to duty</w:t>
      </w:r>
      <w:r w:rsidR="00807C50" w:rsidRPr="001575BC">
        <w:t xml:space="preserve">. </w:t>
      </w:r>
      <w:r w:rsidRPr="001575BC">
        <w:t>In some cases, join</w:t>
      </w:r>
      <w:r w:rsidR="008048CA">
        <w:t>t</w:t>
      </w:r>
      <w:r w:rsidRPr="001575BC">
        <w:t xml:space="preserve"> pain severe enough to limit activities may persist for weeks to months. </w:t>
      </w:r>
      <w:r w:rsidR="00FD19AF">
        <w:t>There is no specific treatment for Chikungunya</w:t>
      </w:r>
      <w:r w:rsidR="006971C1">
        <w:t xml:space="preserve"> and no preventive vaccines; however, h</w:t>
      </w:r>
      <w:r w:rsidR="00FD19AF">
        <w:t>ospitalizations are uncommon</w:t>
      </w:r>
      <w:r w:rsidR="00345B4B">
        <w:t>,</w:t>
      </w:r>
      <w:r w:rsidR="006971C1">
        <w:t xml:space="preserve"> and d</w:t>
      </w:r>
      <w:r w:rsidR="00057419">
        <w:t xml:space="preserve">eaths are rare. </w:t>
      </w:r>
    </w:p>
    <w:p w14:paraId="4A01650C" w14:textId="77777777" w:rsidR="00D9106C" w:rsidRPr="00D9106C" w:rsidRDefault="00D9106C" w:rsidP="002F0040">
      <w:pPr>
        <w:rPr>
          <w:highlight w:val="yellow"/>
        </w:rPr>
      </w:pPr>
    </w:p>
    <w:p w14:paraId="328E4A3D" w14:textId="36E86463" w:rsidR="00D9106C" w:rsidRPr="00C36D69" w:rsidRDefault="00D9106C" w:rsidP="00FD4769">
      <w:pPr>
        <w:pStyle w:val="Heading3"/>
      </w:pPr>
      <w:r w:rsidRPr="00C36D69">
        <w:rPr>
          <w:highlight w:val="yellow"/>
        </w:rPr>
        <w:t>Zika</w:t>
      </w:r>
    </w:p>
    <w:p w14:paraId="17C2C793" w14:textId="77777777" w:rsidR="00D9106C" w:rsidRPr="00D9106C" w:rsidRDefault="00D9106C" w:rsidP="002F0040">
      <w:pPr>
        <w:rPr>
          <w:highlight w:val="yellow"/>
        </w:rPr>
      </w:pPr>
    </w:p>
    <w:p w14:paraId="266F1BD5" w14:textId="4EDAB76D" w:rsidR="00D9106C" w:rsidRPr="001575BC" w:rsidRDefault="00D9106C" w:rsidP="002F0040">
      <w:r w:rsidRPr="001575BC">
        <w:t xml:space="preserve">Zika is </w:t>
      </w:r>
      <w:r w:rsidR="00FD19AF">
        <w:t xml:space="preserve">a flavivirus </w:t>
      </w:r>
      <w:r w:rsidRPr="001575BC">
        <w:t xml:space="preserve">spread by daytime </w:t>
      </w:r>
      <w:r w:rsidR="004863C0">
        <w:t>biting</w:t>
      </w:r>
      <w:r w:rsidR="00FD19AF">
        <w:t xml:space="preserve"> </w:t>
      </w:r>
      <w:r w:rsidRPr="001575BC">
        <w:t xml:space="preserve">mosquitos, such as </w:t>
      </w:r>
      <w:r w:rsidR="00FD19AF">
        <w:t xml:space="preserve">infected </w:t>
      </w:r>
      <w:r w:rsidRPr="001575BC">
        <w:rPr>
          <w:i/>
        </w:rPr>
        <w:t>A. aegypti</w:t>
      </w:r>
      <w:r w:rsidRPr="001575BC">
        <w:t xml:space="preserve"> and </w:t>
      </w:r>
      <w:r w:rsidRPr="001575BC">
        <w:rPr>
          <w:i/>
        </w:rPr>
        <w:t>A. albopictus</w:t>
      </w:r>
      <w:r w:rsidR="00807C50" w:rsidRPr="001575BC">
        <w:t xml:space="preserve">. </w:t>
      </w:r>
      <w:r w:rsidRPr="001575BC">
        <w:t xml:space="preserve">Zika </w:t>
      </w:r>
      <w:r w:rsidR="00FD19AF">
        <w:t xml:space="preserve">infection is generally asymptomatic but can </w:t>
      </w:r>
      <w:r w:rsidRPr="001575BC">
        <w:t>cause a debilitating febrile illness</w:t>
      </w:r>
      <w:r w:rsidR="00DB2472">
        <w:t>, which</w:t>
      </w:r>
      <w:r w:rsidRPr="001575BC">
        <w:t xml:space="preserve"> typically requir</w:t>
      </w:r>
      <w:r w:rsidR="00DB2472">
        <w:t>es</w:t>
      </w:r>
      <w:r w:rsidRPr="001575BC">
        <w:t xml:space="preserve"> 1</w:t>
      </w:r>
      <w:r w:rsidR="00345B4B">
        <w:rPr>
          <w:rFonts w:cs="Arial"/>
        </w:rPr>
        <w:t>–</w:t>
      </w:r>
      <w:r w:rsidRPr="001575BC">
        <w:t>7 days of inpatient care, followed by return to duty</w:t>
      </w:r>
      <w:r w:rsidR="00807C50" w:rsidRPr="001575BC">
        <w:t xml:space="preserve">. </w:t>
      </w:r>
      <w:r w:rsidRPr="001575BC">
        <w:t>Symptoms of Zika infection (e.g., fever, rash, joint and muscle pain, red eyes, and vomiting) may last for several days to a week</w:t>
      </w:r>
      <w:r w:rsidR="00807C50" w:rsidRPr="001575BC">
        <w:t xml:space="preserve">. </w:t>
      </w:r>
      <w:r w:rsidRPr="001575BC">
        <w:t>In some cases, severe neurological complications (</w:t>
      </w:r>
      <w:r w:rsidR="00FD19AF">
        <w:t xml:space="preserve">e.g., </w:t>
      </w:r>
      <w:r w:rsidRPr="001575BC">
        <w:t>Guillain-Barre</w:t>
      </w:r>
      <w:r w:rsidR="00FD19AF">
        <w:t xml:space="preserve"> </w:t>
      </w:r>
      <w:r w:rsidR="00FD19AF">
        <w:lastRenderedPageBreak/>
        <w:t>syndrome, neuropathy</w:t>
      </w:r>
      <w:r w:rsidR="00966A77">
        <w:t>,</w:t>
      </w:r>
      <w:r w:rsidR="00FD19AF">
        <w:t xml:space="preserve"> and myelitis</w:t>
      </w:r>
      <w:r w:rsidRPr="001575BC">
        <w:t>) may occur.</w:t>
      </w:r>
      <w:r w:rsidR="00FD19AF">
        <w:t xml:space="preserve"> The greatest concern is that </w:t>
      </w:r>
      <w:r w:rsidR="00FD19AF" w:rsidRPr="00FD19AF">
        <w:t xml:space="preserve">Zika virus infection during pregnancy can cause </w:t>
      </w:r>
      <w:r w:rsidR="00FD19AF">
        <w:t xml:space="preserve">offspring </w:t>
      </w:r>
      <w:r w:rsidR="00FD19AF" w:rsidRPr="00FD19AF">
        <w:t xml:space="preserve">to be born with microcephaly and other congenital malformations, known as congenital Zika syndrome. Infection with Zika virus is also associated with other complications </w:t>
      </w:r>
      <w:r w:rsidR="00833B57">
        <w:t>in</w:t>
      </w:r>
      <w:r w:rsidR="00FD19AF" w:rsidRPr="00FD19AF">
        <w:t xml:space="preserve"> pregnancy including preterm birth and miscarriage.</w:t>
      </w:r>
      <w:r w:rsidR="00FD19AF">
        <w:t xml:space="preserve"> Prevention is with mosquito avoidance. There is no specific medication or vaccine for Zika virus.</w:t>
      </w:r>
    </w:p>
    <w:p w14:paraId="0F8B9485" w14:textId="77777777" w:rsidR="00D9106C" w:rsidRPr="00D9106C" w:rsidRDefault="00D9106C" w:rsidP="002F0040">
      <w:pPr>
        <w:rPr>
          <w:highlight w:val="yellow"/>
        </w:rPr>
      </w:pPr>
    </w:p>
    <w:p w14:paraId="78CD797F" w14:textId="4CF40A96" w:rsidR="00D9106C" w:rsidRPr="00C36D69" w:rsidRDefault="00D9106C" w:rsidP="00FD4769">
      <w:pPr>
        <w:pStyle w:val="Heading3"/>
      </w:pPr>
      <w:r w:rsidRPr="00C36D69">
        <w:rPr>
          <w:highlight w:val="yellow"/>
        </w:rPr>
        <w:t xml:space="preserve">Rickettsioses, </w:t>
      </w:r>
      <w:r w:rsidR="000D09F5" w:rsidRPr="00C36D69">
        <w:rPr>
          <w:highlight w:val="yellow"/>
        </w:rPr>
        <w:t>Tick</w:t>
      </w:r>
      <w:r w:rsidR="00E0746C" w:rsidRPr="00C36D69">
        <w:rPr>
          <w:highlight w:val="yellow"/>
        </w:rPr>
        <w:t>-borne</w:t>
      </w:r>
      <w:r w:rsidRPr="00C36D69">
        <w:rPr>
          <w:highlight w:val="yellow"/>
        </w:rPr>
        <w:t xml:space="preserve"> (spotted fever group)</w:t>
      </w:r>
    </w:p>
    <w:p w14:paraId="7DBAEC67" w14:textId="77777777" w:rsidR="00D9106C" w:rsidRPr="00D9106C" w:rsidRDefault="00D9106C" w:rsidP="002F0040">
      <w:pPr>
        <w:rPr>
          <w:highlight w:val="yellow"/>
        </w:rPr>
      </w:pPr>
    </w:p>
    <w:p w14:paraId="27410DCC" w14:textId="3B9A92EB" w:rsidR="00D9106C" w:rsidRDefault="00B66139" w:rsidP="002F0040">
      <w:r w:rsidRPr="00B66139">
        <w:rPr>
          <w:iCs/>
        </w:rPr>
        <w:t>Spotted Fever Group Rickettsioses (SFGR) are a group of diseases caused by closely related bacteria spread to people through the bites of infected ticks and mites</w:t>
      </w:r>
      <w:r>
        <w:rPr>
          <w:iCs/>
        </w:rPr>
        <w:t xml:space="preserve">, with ticks being responsible for the most serious of the </w:t>
      </w:r>
      <w:r w:rsidR="004B365B">
        <w:rPr>
          <w:iCs/>
        </w:rPr>
        <w:t>SFGR</w:t>
      </w:r>
      <w:r w:rsidRPr="00B66139">
        <w:rPr>
          <w:iCs/>
        </w:rPr>
        <w:t xml:space="preserve">. </w:t>
      </w:r>
      <w:r w:rsidR="00D9106C" w:rsidRPr="001575BC">
        <w:rPr>
          <w:iCs/>
        </w:rPr>
        <w:t xml:space="preserve">Rickettsioses are transmitted by multiple species of hard ticks, including </w:t>
      </w:r>
      <w:proofErr w:type="spellStart"/>
      <w:r w:rsidR="00D9106C" w:rsidRPr="001575BC">
        <w:rPr>
          <w:i/>
          <w:iCs/>
        </w:rPr>
        <w:t>Rhipicepahalus</w:t>
      </w:r>
      <w:proofErr w:type="spellEnd"/>
      <w:r w:rsidR="00D9106C" w:rsidRPr="001575BC">
        <w:rPr>
          <w:iCs/>
        </w:rPr>
        <w:t xml:space="preserve"> </w:t>
      </w:r>
      <w:r w:rsidR="00D9106C" w:rsidRPr="002758CC">
        <w:rPr>
          <w:i/>
        </w:rPr>
        <w:t>spp</w:t>
      </w:r>
      <w:r w:rsidR="00D9106C" w:rsidRPr="001575BC">
        <w:rPr>
          <w:iCs/>
        </w:rPr>
        <w:t xml:space="preserve">. and </w:t>
      </w:r>
      <w:r w:rsidR="00D9106C" w:rsidRPr="002758CC">
        <w:rPr>
          <w:i/>
          <w:iCs/>
        </w:rPr>
        <w:t>Ixodes spp</w:t>
      </w:r>
      <w:r w:rsidR="00807C50" w:rsidRPr="001575BC">
        <w:rPr>
          <w:iCs/>
        </w:rPr>
        <w:t xml:space="preserve">. </w:t>
      </w:r>
      <w:r w:rsidR="004B365B">
        <w:rPr>
          <w:iCs/>
        </w:rPr>
        <w:t>S</w:t>
      </w:r>
      <w:r w:rsidR="004B365B" w:rsidRPr="004B365B">
        <w:rPr>
          <w:iCs/>
        </w:rPr>
        <w:t>potted fevers can range from relatively mild infections to fatal disease</w:t>
      </w:r>
      <w:r w:rsidR="00807C50" w:rsidRPr="001575BC">
        <w:t xml:space="preserve">. </w:t>
      </w:r>
      <w:r w:rsidR="00D9106C" w:rsidRPr="001575BC">
        <w:t>More prolonged and severe infections may occur with rare fatalities.</w:t>
      </w:r>
      <w:r w:rsidR="004B365B">
        <w:t xml:space="preserve"> </w:t>
      </w:r>
      <w:r w:rsidR="00833B57">
        <w:t>There are no vaccines; however,</w:t>
      </w:r>
      <w:r w:rsidR="00966A77">
        <w:t xml:space="preserve"> </w:t>
      </w:r>
      <w:r w:rsidR="00833B57">
        <w:t>a</w:t>
      </w:r>
      <w:r w:rsidR="004B365B">
        <w:t xml:space="preserve">ntibiotics are available for treatment. </w:t>
      </w:r>
    </w:p>
    <w:p w14:paraId="246D81B1" w14:textId="1CD8E5DF" w:rsidR="00791A7F" w:rsidRDefault="00791A7F" w:rsidP="002F0040"/>
    <w:p w14:paraId="4333238D" w14:textId="424F067B" w:rsidR="00807C50" w:rsidRPr="002758CC" w:rsidRDefault="00807C50" w:rsidP="00FD4769">
      <w:pPr>
        <w:pStyle w:val="Heading3"/>
      </w:pPr>
      <w:r w:rsidRPr="002758CC">
        <w:rPr>
          <w:highlight w:val="yellow"/>
        </w:rPr>
        <w:t>Rift Valley Fever</w:t>
      </w:r>
    </w:p>
    <w:p w14:paraId="1BE7B31D" w14:textId="77777777" w:rsidR="00807C50" w:rsidRPr="00807C50" w:rsidRDefault="00807C50" w:rsidP="002F0040">
      <w:pPr>
        <w:rPr>
          <w:highlight w:val="yellow"/>
        </w:rPr>
      </w:pPr>
    </w:p>
    <w:p w14:paraId="22CF1FAD" w14:textId="029602D2" w:rsidR="00807C50" w:rsidRPr="00807C50" w:rsidRDefault="00807C50" w:rsidP="002F0040">
      <w:pPr>
        <w:rPr>
          <w:highlight w:val="yellow"/>
        </w:rPr>
      </w:pPr>
      <w:r w:rsidRPr="001575BC">
        <w:t xml:space="preserve">Rift Valley Fever </w:t>
      </w:r>
      <w:r w:rsidR="00833B57">
        <w:t>(RVF)</w:t>
      </w:r>
      <w:r w:rsidR="00DA0731">
        <w:t xml:space="preserve"> </w:t>
      </w:r>
      <w:r w:rsidRPr="001575BC">
        <w:t xml:space="preserve">is </w:t>
      </w:r>
      <w:r w:rsidR="00DA0731">
        <w:t xml:space="preserve">caused by </w:t>
      </w:r>
      <w:r w:rsidR="004B365B">
        <w:t xml:space="preserve">a </w:t>
      </w:r>
      <w:proofErr w:type="spellStart"/>
      <w:r w:rsidR="004B365B" w:rsidRPr="00DA0731">
        <w:rPr>
          <w:i/>
          <w:iCs/>
        </w:rPr>
        <w:t>Phlebovirus</w:t>
      </w:r>
      <w:proofErr w:type="spellEnd"/>
      <w:r w:rsidR="004B365B">
        <w:t xml:space="preserve"> virus </w:t>
      </w:r>
      <w:r w:rsidRPr="001575BC">
        <w:t xml:space="preserve">transmitted by </w:t>
      </w:r>
      <w:r w:rsidR="004B365B">
        <w:t xml:space="preserve">infected </w:t>
      </w:r>
      <w:r w:rsidR="0041478C">
        <w:t>mosquitos (</w:t>
      </w:r>
      <w:r w:rsidRPr="001575BC">
        <w:rPr>
          <w:i/>
        </w:rPr>
        <w:t>Aedes</w:t>
      </w:r>
      <w:r w:rsidRPr="001575BC">
        <w:t xml:space="preserve"> </w:t>
      </w:r>
      <w:r w:rsidRPr="002758CC">
        <w:rPr>
          <w:i/>
          <w:iCs/>
        </w:rPr>
        <w:t>spp</w:t>
      </w:r>
      <w:r w:rsidR="00833B57">
        <w:rPr>
          <w:i/>
          <w:iCs/>
        </w:rPr>
        <w:t>.</w:t>
      </w:r>
      <w:r w:rsidR="004B365B">
        <w:rPr>
          <w:i/>
          <w:iCs/>
        </w:rPr>
        <w:t xml:space="preserve"> and </w:t>
      </w:r>
      <w:r w:rsidR="004B365B" w:rsidRPr="00833B57">
        <w:rPr>
          <w:i/>
          <w:iCs/>
        </w:rPr>
        <w:t>Culex</w:t>
      </w:r>
      <w:r w:rsidR="00833B57">
        <w:rPr>
          <w:i/>
          <w:iCs/>
        </w:rPr>
        <w:t xml:space="preserve"> spp</w:t>
      </w:r>
      <w:r w:rsidRPr="001575BC">
        <w:t>.</w:t>
      </w:r>
      <w:r w:rsidR="0041478C">
        <w:t>)</w:t>
      </w:r>
      <w:r w:rsidR="004B365B">
        <w:t xml:space="preserve"> and rarely from other biting insects. It occurs when people are</w:t>
      </w:r>
      <w:r w:rsidRPr="001575BC">
        <w:t xml:space="preserve"> </w:t>
      </w:r>
      <w:r w:rsidR="003054A7" w:rsidRPr="001575BC">
        <w:t>near</w:t>
      </w:r>
      <w:r w:rsidRPr="001575BC">
        <w:t xml:space="preserve"> livestock, typically in rural settings. </w:t>
      </w:r>
      <w:r w:rsidR="004B365B">
        <w:t xml:space="preserve">While it is </w:t>
      </w:r>
      <w:proofErr w:type="gramStart"/>
      <w:r w:rsidR="004B365B">
        <w:t>most commonly seen</w:t>
      </w:r>
      <w:proofErr w:type="gramEnd"/>
      <w:r w:rsidR="004B365B">
        <w:t xml:space="preserve"> in animals, p</w:t>
      </w:r>
      <w:r w:rsidR="004B365B" w:rsidRPr="004B365B">
        <w:t>eople can get RVF through contact with blood, body fluids, or tissues</w:t>
      </w:r>
      <w:r w:rsidR="004B365B">
        <w:t xml:space="preserve">. </w:t>
      </w:r>
      <w:r w:rsidR="003054A7">
        <w:t>RVF</w:t>
      </w:r>
      <w:r w:rsidRPr="001575BC">
        <w:t xml:space="preserve"> </w:t>
      </w:r>
      <w:r w:rsidR="004B365B">
        <w:t>ranges in severity from mild and self-limited to</w:t>
      </w:r>
      <w:r w:rsidRPr="001575BC">
        <w:t xml:space="preserve"> a debilitating febrile illness</w:t>
      </w:r>
      <w:r w:rsidR="004B365B">
        <w:t>.</w:t>
      </w:r>
      <w:r w:rsidRPr="001575BC">
        <w:t xml:space="preserve"> </w:t>
      </w:r>
      <w:r w:rsidR="00BE728E">
        <w:t>It is fatal in half of cases. For mild cases, s</w:t>
      </w:r>
      <w:r w:rsidR="004B365B">
        <w:t>upportive care of</w:t>
      </w:r>
      <w:r w:rsidRPr="001575BC">
        <w:t xml:space="preserve"> 1</w:t>
      </w:r>
      <w:r w:rsidR="003054A7">
        <w:rPr>
          <w:rFonts w:cs="Arial"/>
        </w:rPr>
        <w:t>–</w:t>
      </w:r>
      <w:r w:rsidRPr="001575BC">
        <w:t>7 days</w:t>
      </w:r>
      <w:r w:rsidR="003054A7">
        <w:t>,</w:t>
      </w:r>
      <w:r w:rsidRPr="001575BC">
        <w:t xml:space="preserve"> followed by return to duty</w:t>
      </w:r>
      <w:r w:rsidR="004B365B">
        <w:t xml:space="preserve"> is expected</w:t>
      </w:r>
      <w:r w:rsidRPr="001575BC">
        <w:t>. Retinopathy sometimes leading to blindness may occur in up to 10</w:t>
      </w:r>
      <w:r w:rsidR="0041478C">
        <w:t>%</w:t>
      </w:r>
      <w:r w:rsidRPr="001575BC">
        <w:t xml:space="preserve"> of patients. Severe complications including hepatitis with hemorrhage and encephalitis may occur, leading to fatalities.</w:t>
      </w:r>
      <w:r w:rsidR="004B365B">
        <w:t xml:space="preserve"> There is no treatment other than supportive care and no vaccines.</w:t>
      </w:r>
    </w:p>
    <w:p w14:paraId="7EFEF5E7" w14:textId="77777777" w:rsidR="00807C50" w:rsidRPr="00807C50" w:rsidRDefault="00807C50" w:rsidP="002F0040">
      <w:pPr>
        <w:rPr>
          <w:highlight w:val="yellow"/>
        </w:rPr>
      </w:pPr>
    </w:p>
    <w:p w14:paraId="162C98C1" w14:textId="147E5ED0" w:rsidR="00807C50" w:rsidRPr="002758CC" w:rsidRDefault="00807C50" w:rsidP="00FD4769">
      <w:pPr>
        <w:pStyle w:val="Heading3"/>
      </w:pPr>
      <w:proofErr w:type="spellStart"/>
      <w:r w:rsidRPr="002758CC">
        <w:rPr>
          <w:highlight w:val="yellow"/>
        </w:rPr>
        <w:t>Sindbis</w:t>
      </w:r>
      <w:proofErr w:type="spellEnd"/>
      <w:r w:rsidRPr="002758CC">
        <w:rPr>
          <w:highlight w:val="yellow"/>
        </w:rPr>
        <w:t xml:space="preserve"> (and </w:t>
      </w:r>
      <w:proofErr w:type="spellStart"/>
      <w:r w:rsidRPr="002758CC">
        <w:rPr>
          <w:highlight w:val="yellow"/>
        </w:rPr>
        <w:t>Sindbis</w:t>
      </w:r>
      <w:proofErr w:type="spellEnd"/>
      <w:r w:rsidRPr="002758CC">
        <w:rPr>
          <w:highlight w:val="yellow"/>
        </w:rPr>
        <w:t>-like viruses)</w:t>
      </w:r>
    </w:p>
    <w:p w14:paraId="47ECE513" w14:textId="77777777" w:rsidR="00807C50" w:rsidRPr="00807C50" w:rsidRDefault="00807C50" w:rsidP="002F0040">
      <w:pPr>
        <w:rPr>
          <w:highlight w:val="yellow"/>
        </w:rPr>
      </w:pPr>
    </w:p>
    <w:p w14:paraId="6FDB3303" w14:textId="4FF6E8C3" w:rsidR="00807C50" w:rsidRDefault="006C1A8E" w:rsidP="002F0040">
      <w:proofErr w:type="spellStart"/>
      <w:r>
        <w:t>Sindbis</w:t>
      </w:r>
      <w:proofErr w:type="spellEnd"/>
      <w:r>
        <w:t xml:space="preserve"> virus </w:t>
      </w:r>
      <w:r w:rsidR="00886436">
        <w:t xml:space="preserve">is </w:t>
      </w:r>
      <w:r>
        <w:t xml:space="preserve">an alphavirus that is </w:t>
      </w:r>
      <w:r w:rsidRPr="006C1A8E">
        <w:t xml:space="preserve">related to </w:t>
      </w:r>
      <w:r>
        <w:t xml:space="preserve">the </w:t>
      </w:r>
      <w:r w:rsidRPr="006C1A8E">
        <w:t>Chikungunya alphavirus.</w:t>
      </w:r>
      <w:r>
        <w:t xml:space="preserve"> </w:t>
      </w:r>
      <w:proofErr w:type="spellStart"/>
      <w:r w:rsidRPr="006C1A8E">
        <w:t>Sindbis</w:t>
      </w:r>
      <w:proofErr w:type="spellEnd"/>
      <w:r w:rsidRPr="006C1A8E">
        <w:t xml:space="preserve"> virus is one of the most widely distributed mosquito-borne viruses in the world, </w:t>
      </w:r>
      <w:r w:rsidR="00E0746C" w:rsidRPr="001575BC">
        <w:t xml:space="preserve">transmitted by </w:t>
      </w:r>
      <w:r w:rsidR="00807C50" w:rsidRPr="001575BC">
        <w:rPr>
          <w:i/>
        </w:rPr>
        <w:t xml:space="preserve">Culex </w:t>
      </w:r>
      <w:r w:rsidR="00807C50" w:rsidRPr="002758CC">
        <w:rPr>
          <w:i/>
          <w:iCs/>
        </w:rPr>
        <w:t>spp</w:t>
      </w:r>
      <w:r w:rsidR="00807C50" w:rsidRPr="001575BC">
        <w:t>.</w:t>
      </w:r>
      <w:r>
        <w:t xml:space="preserve"> and other mosquitoes</w:t>
      </w:r>
      <w:r w:rsidR="00AB77F2">
        <w:t>. T</w:t>
      </w:r>
      <w:r>
        <w:t>he r</w:t>
      </w:r>
      <w:r w:rsidR="00807C50" w:rsidRPr="001575BC">
        <w:t xml:space="preserve">isk </w:t>
      </w:r>
      <w:r w:rsidR="00AB77F2">
        <w:t xml:space="preserve">of encountering </w:t>
      </w:r>
      <w:proofErr w:type="spellStart"/>
      <w:r w:rsidR="00AB77F2">
        <w:t>Sindbis</w:t>
      </w:r>
      <w:proofErr w:type="spellEnd"/>
      <w:r w:rsidR="00AB77F2">
        <w:t xml:space="preserve"> virus </w:t>
      </w:r>
      <w:r w:rsidR="00807C50" w:rsidRPr="001575BC">
        <w:t xml:space="preserve">is elevated during periods of increased vector mosquito activity. </w:t>
      </w:r>
      <w:proofErr w:type="spellStart"/>
      <w:r>
        <w:t>Sindbis</w:t>
      </w:r>
      <w:proofErr w:type="spellEnd"/>
      <w:r>
        <w:t xml:space="preserve"> virus </w:t>
      </w:r>
      <w:r w:rsidRPr="006C1A8E">
        <w:t xml:space="preserve">causes </w:t>
      </w:r>
      <w:r>
        <w:t xml:space="preserve">a mild fever that is associated with a </w:t>
      </w:r>
      <w:r w:rsidRPr="006C1A8E">
        <w:t>rash and arthritis</w:t>
      </w:r>
      <w:r>
        <w:t>. Most people recover within weeks to months. A</w:t>
      </w:r>
      <w:r w:rsidR="00E0746C" w:rsidRPr="001575BC">
        <w:t>rthralgia</w:t>
      </w:r>
      <w:r w:rsidR="00807C50" w:rsidRPr="001575BC">
        <w:t xml:space="preserve"> can persist for several weeks or more in some cases.</w:t>
      </w:r>
      <w:r>
        <w:t xml:space="preserve"> There are no specific treatments nor vaccines.</w:t>
      </w:r>
    </w:p>
    <w:p w14:paraId="7B528346" w14:textId="37CEC2CE" w:rsidR="00807C50" w:rsidRDefault="00807C50" w:rsidP="002F0040"/>
    <w:p w14:paraId="5163E974" w14:textId="04194516" w:rsidR="00807C50" w:rsidRPr="002758CC" w:rsidRDefault="00807C50" w:rsidP="00FD4769">
      <w:pPr>
        <w:pStyle w:val="Heading3"/>
      </w:pPr>
      <w:proofErr w:type="spellStart"/>
      <w:r w:rsidRPr="002758CC">
        <w:rPr>
          <w:highlight w:val="yellow"/>
        </w:rPr>
        <w:t>O</w:t>
      </w:r>
      <w:r w:rsidR="00E0746C" w:rsidRPr="002758CC">
        <w:rPr>
          <w:highlight w:val="yellow"/>
        </w:rPr>
        <w:t>’</w:t>
      </w:r>
      <w:r w:rsidRPr="002758CC">
        <w:rPr>
          <w:highlight w:val="yellow"/>
        </w:rPr>
        <w:t>nyong-nyong</w:t>
      </w:r>
      <w:proofErr w:type="spellEnd"/>
    </w:p>
    <w:p w14:paraId="00FFEE05" w14:textId="77777777" w:rsidR="00807C50" w:rsidRPr="00807C50" w:rsidRDefault="00807C50" w:rsidP="002F0040">
      <w:pPr>
        <w:rPr>
          <w:highlight w:val="yellow"/>
        </w:rPr>
      </w:pPr>
    </w:p>
    <w:p w14:paraId="755AF85A" w14:textId="4E4C5CB4" w:rsidR="00807C50" w:rsidRPr="003B5A2A" w:rsidRDefault="00807C50" w:rsidP="002F0040">
      <w:bookmarkStart w:id="68" w:name="_Hlk132214481"/>
      <w:proofErr w:type="spellStart"/>
      <w:r w:rsidRPr="001575BC">
        <w:t>O’nyong-nyong</w:t>
      </w:r>
      <w:proofErr w:type="spellEnd"/>
      <w:r w:rsidRPr="001575BC">
        <w:t xml:space="preserve"> virus </w:t>
      </w:r>
      <w:bookmarkEnd w:id="68"/>
      <w:r w:rsidRPr="001575BC">
        <w:t xml:space="preserve">is a mosquito-borne alphavirus belonging to the family </w:t>
      </w:r>
      <w:proofErr w:type="spellStart"/>
      <w:r w:rsidRPr="00187850">
        <w:rPr>
          <w:i/>
          <w:iCs/>
        </w:rPr>
        <w:t>Togaviridae</w:t>
      </w:r>
      <w:proofErr w:type="spellEnd"/>
      <w:r w:rsidR="002D1735">
        <w:t xml:space="preserve"> and alphavirus genus</w:t>
      </w:r>
      <w:r w:rsidRPr="001575BC">
        <w:t xml:space="preserve">. It is closely related to Chikungunya virus. </w:t>
      </w:r>
      <w:proofErr w:type="spellStart"/>
      <w:r w:rsidRPr="001575BC">
        <w:t>O’nyong-nyong</w:t>
      </w:r>
      <w:proofErr w:type="spellEnd"/>
      <w:r w:rsidRPr="001575BC">
        <w:t xml:space="preserve"> virus is spread to people by the bite of an infected </w:t>
      </w:r>
      <w:r w:rsidRPr="002D1735">
        <w:rPr>
          <w:i/>
        </w:rPr>
        <w:t>Anopheles</w:t>
      </w:r>
      <w:r w:rsidRPr="00E0746C">
        <w:rPr>
          <w:i/>
        </w:rPr>
        <w:t xml:space="preserve"> </w:t>
      </w:r>
      <w:r w:rsidRPr="001575BC">
        <w:t xml:space="preserve">mosquito. </w:t>
      </w:r>
      <w:r w:rsidRPr="00E0746C">
        <w:rPr>
          <w:i/>
        </w:rPr>
        <w:t>Anopheles gambiae</w:t>
      </w:r>
      <w:r w:rsidRPr="001575BC">
        <w:t xml:space="preserve"> and </w:t>
      </w:r>
      <w:r w:rsidRPr="00E0746C">
        <w:rPr>
          <w:i/>
        </w:rPr>
        <w:t xml:space="preserve">Anopheles </w:t>
      </w:r>
      <w:proofErr w:type="spellStart"/>
      <w:r w:rsidRPr="00E0746C">
        <w:rPr>
          <w:i/>
        </w:rPr>
        <w:t>funestus</w:t>
      </w:r>
      <w:proofErr w:type="spellEnd"/>
      <w:r w:rsidRPr="001575BC">
        <w:t xml:space="preserve"> are the main vectors of </w:t>
      </w:r>
      <w:proofErr w:type="spellStart"/>
      <w:r w:rsidRPr="001575BC">
        <w:t>O'nyong-nyong</w:t>
      </w:r>
      <w:proofErr w:type="spellEnd"/>
      <w:r w:rsidRPr="001575BC">
        <w:t xml:space="preserve"> virus. </w:t>
      </w:r>
      <w:proofErr w:type="spellStart"/>
      <w:r w:rsidR="002D1735" w:rsidRPr="002D1735">
        <w:t>O’nyong-nyong</w:t>
      </w:r>
      <w:proofErr w:type="spellEnd"/>
      <w:r w:rsidR="002D1735" w:rsidRPr="002D1735">
        <w:t xml:space="preserve"> virus </w:t>
      </w:r>
      <w:r w:rsidR="002D1735">
        <w:t>means joint-breaker</w:t>
      </w:r>
      <w:r w:rsidR="00833B57">
        <w:t>, and c</w:t>
      </w:r>
      <w:r w:rsidRPr="001575BC">
        <w:t>ommon symptoms include high fever, crippling pain</w:t>
      </w:r>
      <w:r w:rsidR="002D1735">
        <w:t xml:space="preserve"> in multiple joints</w:t>
      </w:r>
      <w:r w:rsidRPr="001575BC">
        <w:t xml:space="preserve">, </w:t>
      </w:r>
      <w:r w:rsidR="002D1735">
        <w:t xml:space="preserve">pruritic </w:t>
      </w:r>
      <w:r w:rsidRPr="001575BC">
        <w:t xml:space="preserve">rash, swollen lymph nodes, eye pain, </w:t>
      </w:r>
      <w:r w:rsidR="002D1735">
        <w:t>conjunctivitis (</w:t>
      </w:r>
      <w:r w:rsidRPr="001575BC">
        <w:t>red eyes</w:t>
      </w:r>
      <w:r w:rsidR="002D1735">
        <w:t>)</w:t>
      </w:r>
      <w:r w:rsidRPr="001575BC">
        <w:t xml:space="preserve"> with no discharge, </w:t>
      </w:r>
      <w:r w:rsidR="002D1735">
        <w:t xml:space="preserve">oral ulcers, </w:t>
      </w:r>
      <w:r w:rsidRPr="001575BC">
        <w:t xml:space="preserve">chest pain, and general malaise. The symptoms can be misdiagnosed as Chikungunya virus. </w:t>
      </w:r>
      <w:r w:rsidRPr="001575BC">
        <w:lastRenderedPageBreak/>
        <w:t xml:space="preserve">The infection will usually resolve on its own. Some patients experienced prolonged joint pain during the recovery phase. </w:t>
      </w:r>
      <w:r w:rsidR="002D1735">
        <w:t>There are no vaccines, no specific treatments, and no prophylaxis. Treatment is symptomatic</w:t>
      </w:r>
      <w:r w:rsidR="00833B57">
        <w:t>, and</w:t>
      </w:r>
      <w:r w:rsidR="00187850">
        <w:t xml:space="preserve"> </w:t>
      </w:r>
      <w:r w:rsidR="00833B57">
        <w:t>r</w:t>
      </w:r>
      <w:r w:rsidR="002D1735">
        <w:t>ecovery can be expected within 1</w:t>
      </w:r>
      <w:r w:rsidR="000A3CA7">
        <w:rPr>
          <w:rFonts w:cs="Arial"/>
        </w:rPr>
        <w:t>–</w:t>
      </w:r>
      <w:r w:rsidR="002D1735">
        <w:t xml:space="preserve">2 weeks of clinical onset of symptoms. </w:t>
      </w:r>
      <w:r w:rsidR="00833B57">
        <w:t>No d</w:t>
      </w:r>
      <w:r w:rsidR="002D1735">
        <w:t xml:space="preserve">eaths </w:t>
      </w:r>
      <w:r w:rsidR="00833B57">
        <w:t>from this virus have</w:t>
      </w:r>
      <w:r w:rsidR="002D1735">
        <w:t xml:space="preserve"> been reported.</w:t>
      </w:r>
    </w:p>
    <w:p w14:paraId="4C2573B2" w14:textId="68AEA932" w:rsidR="006A0776" w:rsidRPr="00E97596" w:rsidRDefault="006A0776" w:rsidP="002F0040"/>
    <w:p w14:paraId="2DB96B24" w14:textId="4FEEC77E" w:rsidR="00AA1977" w:rsidRPr="00E97596" w:rsidRDefault="00AA1977" w:rsidP="00580B36">
      <w:pPr>
        <w:pStyle w:val="Heading2"/>
      </w:pPr>
      <w:r w:rsidRPr="00E97596">
        <w:t>Water Contact Diseases</w:t>
      </w:r>
    </w:p>
    <w:p w14:paraId="28C09874" w14:textId="4EEA4071" w:rsidR="006A0776" w:rsidRDefault="006A0776" w:rsidP="002F0040"/>
    <w:p w14:paraId="0BB6FF4D" w14:textId="48C0CC43" w:rsidR="006A4D90" w:rsidRDefault="006A4D90" w:rsidP="002F0040">
      <w:r w:rsidRPr="003247CE">
        <w:t xml:space="preserve">Tactical operations or recreational activities that involve extensive contact with surface </w:t>
      </w:r>
      <w:r>
        <w:t xml:space="preserve">fresh </w:t>
      </w:r>
      <w:r w:rsidRPr="003247CE">
        <w:t>water</w:t>
      </w:r>
      <w:r w:rsidR="00AD17DF">
        <w:t>,</w:t>
      </w:r>
      <w:r w:rsidRPr="003247CE">
        <w:t xml:space="preserve"> such as lakes, streams, rivers, or flooded fields</w:t>
      </w:r>
      <w:r w:rsidR="00AD17DF">
        <w:t>,</w:t>
      </w:r>
      <w:r w:rsidRPr="003247CE">
        <w:t xml:space="preserve"> may result in significant exposure to leptospirosis and schistosomiasis. These diseases can debilitate personnel for </w:t>
      </w:r>
      <w:r w:rsidR="0003329A">
        <w:t>variable periods of time</w:t>
      </w:r>
      <w:r w:rsidRPr="003247CE">
        <w:t xml:space="preserve">. Leptospirosis risk typically increases during flooding. In addition, although not specifically assessed in this document, bodies of surface water are likely to be contaminated with human and animal waste. Activities such as </w:t>
      </w:r>
      <w:r w:rsidR="004212C1" w:rsidRPr="003247CE">
        <w:t>wading,</w:t>
      </w:r>
      <w:r w:rsidRPr="003247CE">
        <w:t xml:space="preserve"> or swimming may result in exposure to enteric diseases including diarrhea and hepatitis via incidental ingestion of water. Prolonged water contact also may lead to the development of a variety of potentially debilitating skin conditions including bacterial or fungal dermatitis. Mitigation strategies were in place and included avoiding water contact and recreational water activities, proper wear of uniform (</w:t>
      </w:r>
      <w:r w:rsidR="0003329A">
        <w:t>including</w:t>
      </w:r>
      <w:r w:rsidRPr="003247CE">
        <w:t xml:space="preserve"> footwear), and protective coverings for cuts/abraded skin.</w:t>
      </w:r>
    </w:p>
    <w:p w14:paraId="0097F6BA" w14:textId="77777777" w:rsidR="006A4D90" w:rsidRPr="00E97596" w:rsidRDefault="006A4D90" w:rsidP="002F0040"/>
    <w:p w14:paraId="54583C5F" w14:textId="79D0432B" w:rsidR="006A0776" w:rsidRPr="00E97596" w:rsidRDefault="006A0776" w:rsidP="00FD4769">
      <w:pPr>
        <w:pStyle w:val="Heading3"/>
      </w:pPr>
      <w:r w:rsidRPr="001575BC">
        <w:rPr>
          <w:highlight w:val="yellow"/>
        </w:rPr>
        <w:t>Schistosomiasis</w:t>
      </w:r>
    </w:p>
    <w:p w14:paraId="5810F681" w14:textId="77777777" w:rsidR="006A0776" w:rsidRPr="00E97596" w:rsidRDefault="006A0776" w:rsidP="002F0040"/>
    <w:p w14:paraId="1DCDA595" w14:textId="7DD96FBE" w:rsidR="006A0776" w:rsidRPr="00E97596" w:rsidRDefault="00AF6C6A" w:rsidP="00AF6C6A">
      <w:bookmarkStart w:id="69" w:name="_Hlk137451464"/>
      <w:r w:rsidRPr="00AF6C6A">
        <w:rPr>
          <w:color w:val="000000"/>
        </w:rPr>
        <w:t xml:space="preserve">Schistosomiasis </w:t>
      </w:r>
      <w:r>
        <w:rPr>
          <w:color w:val="000000"/>
        </w:rPr>
        <w:t xml:space="preserve">(bilharzia) </w:t>
      </w:r>
      <w:r w:rsidRPr="00AF6C6A">
        <w:rPr>
          <w:color w:val="000000"/>
        </w:rPr>
        <w:t xml:space="preserve">is an acute and chronic parasitic disease caused by </w:t>
      </w:r>
      <w:r>
        <w:rPr>
          <w:color w:val="000000"/>
        </w:rPr>
        <w:t>parasitic worms [</w:t>
      </w:r>
      <w:r w:rsidRPr="00AF6C6A">
        <w:rPr>
          <w:color w:val="000000"/>
        </w:rPr>
        <w:t>blood flukes (trematode worms)</w:t>
      </w:r>
      <w:r>
        <w:rPr>
          <w:color w:val="000000"/>
        </w:rPr>
        <w:t>]</w:t>
      </w:r>
      <w:r w:rsidRPr="00AF6C6A">
        <w:rPr>
          <w:color w:val="000000"/>
        </w:rPr>
        <w:t xml:space="preserve"> of the genus Schistosoma.</w:t>
      </w:r>
      <w:r>
        <w:rPr>
          <w:color w:val="000000"/>
        </w:rPr>
        <w:t xml:space="preserve"> </w:t>
      </w:r>
      <w:r w:rsidR="00B77898" w:rsidRPr="00E97596">
        <w:rPr>
          <w:color w:val="000000"/>
        </w:rPr>
        <w:t>Waterborne transmission occurs when larval cercariae, found in contaminated bodies of freshwater, penetrate the </w:t>
      </w:r>
      <w:r w:rsidR="00C4373F" w:rsidRPr="00E97596">
        <w:rPr>
          <w:color w:val="000000"/>
        </w:rPr>
        <w:t>skin.</w:t>
      </w:r>
      <w:r w:rsidR="00C4373F" w:rsidRPr="00E97596">
        <w:t xml:space="preserve"> Humans</w:t>
      </w:r>
      <w:r w:rsidR="006A0776" w:rsidRPr="00E97596">
        <w:t xml:space="preserve"> are the principal reservoir for schistosomes</w:t>
      </w:r>
      <w:r w:rsidR="00B228F9">
        <w:t xml:space="preserve"> and</w:t>
      </w:r>
      <w:r w:rsidR="006A0776" w:rsidRPr="00E97596">
        <w:t xml:space="preserve"> shed schistosome eggs in </w:t>
      </w:r>
      <w:r>
        <w:t xml:space="preserve">their </w:t>
      </w:r>
      <w:r w:rsidR="006A0776" w:rsidRPr="00E97596">
        <w:t>urine or feces</w:t>
      </w:r>
      <w:r w:rsidR="00CB7135">
        <w:t>,</w:t>
      </w:r>
      <w:r>
        <w:t xml:space="preserve"> </w:t>
      </w:r>
      <w:r w:rsidR="003328FA">
        <w:t>thereby</w:t>
      </w:r>
      <w:r>
        <w:t xml:space="preserve"> contaminat</w:t>
      </w:r>
      <w:r w:rsidR="003328FA">
        <w:t>ing</w:t>
      </w:r>
      <w:r>
        <w:t xml:space="preserve"> freshwater sources</w:t>
      </w:r>
      <w:r w:rsidR="002C6D14" w:rsidRPr="00E97596">
        <w:t xml:space="preserve">. </w:t>
      </w:r>
      <w:r w:rsidR="006A0776" w:rsidRPr="00E97596">
        <w:t>When water temperatures are at or above 68 degrees Fahrenheit (°F), the eggs hatch</w:t>
      </w:r>
      <w:r>
        <w:t xml:space="preserve"> in freshwater</w:t>
      </w:r>
      <w:r w:rsidR="00CB7135">
        <w:t>,</w:t>
      </w:r>
      <w:r w:rsidR="006A0776" w:rsidRPr="00E97596">
        <w:t xml:space="preserve"> releasing larvae</w:t>
      </w:r>
      <w:r w:rsidR="002C6D14" w:rsidRPr="00E97596">
        <w:t xml:space="preserve">. </w:t>
      </w:r>
      <w:r w:rsidR="006A0776" w:rsidRPr="00E97596">
        <w:t>If a suitable freshwater snail species is present, the larvae penetrate the snail and, after a period of development, emerge as free-swimming cercariae</w:t>
      </w:r>
      <w:r w:rsidR="002C6D14" w:rsidRPr="00E97596">
        <w:t xml:space="preserve">. </w:t>
      </w:r>
      <w:r w:rsidR="006A0776" w:rsidRPr="00E97596">
        <w:t>Cercariae infect human hosts by penetrating skin, usually while the person is wading or swimming</w:t>
      </w:r>
      <w:r w:rsidR="00120B3B">
        <w:t xml:space="preserve"> </w:t>
      </w:r>
      <w:r w:rsidR="00120B3B" w:rsidRPr="00F93618">
        <w:rPr>
          <w:bCs/>
          <w:iCs/>
        </w:rPr>
        <w:t>in</w:t>
      </w:r>
      <w:r w:rsidR="00120B3B">
        <w:rPr>
          <w:bCs/>
          <w:iCs/>
        </w:rPr>
        <w:t xml:space="preserve"> freshwater bodies such as</w:t>
      </w:r>
      <w:r w:rsidR="00120B3B" w:rsidRPr="00F93618">
        <w:rPr>
          <w:bCs/>
          <w:iCs/>
        </w:rPr>
        <w:t xml:space="preserve"> lakes, streams, or irrigated fields which </w:t>
      </w:r>
      <w:r w:rsidR="00120B3B" w:rsidRPr="00F93618">
        <w:t>were</w:t>
      </w:r>
      <w:r w:rsidR="00120B3B" w:rsidRPr="00F93618">
        <w:rPr>
          <w:bCs/>
          <w:iCs/>
        </w:rPr>
        <w:t xml:space="preserve"> frequently contaminated with human and animal waste containing schistosome eggs</w:t>
      </w:r>
      <w:r w:rsidR="002C6D14" w:rsidRPr="00E97596">
        <w:t xml:space="preserve">. </w:t>
      </w:r>
      <w:r w:rsidR="006A0776" w:rsidRPr="00E97596">
        <w:t>Mild infections of Schistosomiasis are generally asymptomatic</w:t>
      </w:r>
      <w:r w:rsidR="002C6D14" w:rsidRPr="00E97596">
        <w:t xml:space="preserve">. </w:t>
      </w:r>
      <w:r w:rsidR="006A0776" w:rsidRPr="00E97596">
        <w:t>In heavy acute infections, a febrile illness (acute schistosomiasis) may occur</w:t>
      </w:r>
      <w:r>
        <w:t xml:space="preserve">. </w:t>
      </w:r>
      <w:r w:rsidR="00E96D8E">
        <w:t>The three main species infecting humans are</w:t>
      </w:r>
      <w:r w:rsidR="006A0776" w:rsidRPr="00E97596">
        <w:t xml:space="preserve"> </w:t>
      </w:r>
      <w:r w:rsidR="006A0776" w:rsidRPr="00E97596">
        <w:rPr>
          <w:i/>
        </w:rPr>
        <w:t>S. japonicum</w:t>
      </w:r>
      <w:r>
        <w:rPr>
          <w:i/>
        </w:rPr>
        <w:t xml:space="preserve">, </w:t>
      </w:r>
      <w:r w:rsidR="006A0776" w:rsidRPr="00E97596">
        <w:rPr>
          <w:i/>
        </w:rPr>
        <w:t xml:space="preserve">S. </w:t>
      </w:r>
      <w:proofErr w:type="spellStart"/>
      <w:r w:rsidR="006A0776" w:rsidRPr="00E97596">
        <w:rPr>
          <w:i/>
        </w:rPr>
        <w:t>mansoni</w:t>
      </w:r>
      <w:proofErr w:type="spellEnd"/>
      <w:r w:rsidR="00886436">
        <w:rPr>
          <w:i/>
        </w:rPr>
        <w:t>,</w:t>
      </w:r>
      <w:r>
        <w:rPr>
          <w:i/>
        </w:rPr>
        <w:t xml:space="preserve"> and</w:t>
      </w:r>
      <w:r w:rsidRPr="00AF6C6A">
        <w:t xml:space="preserve"> </w:t>
      </w:r>
      <w:r w:rsidRPr="00AF6C6A">
        <w:rPr>
          <w:i/>
        </w:rPr>
        <w:t>S. haematobium</w:t>
      </w:r>
      <w:r>
        <w:rPr>
          <w:i/>
        </w:rPr>
        <w:t xml:space="preserve">. </w:t>
      </w:r>
      <w:r>
        <w:t>H</w:t>
      </w:r>
      <w:r w:rsidR="006A0776" w:rsidRPr="00E97596">
        <w:t xml:space="preserve">ospitalization </w:t>
      </w:r>
      <w:r>
        <w:t xml:space="preserve">may be </w:t>
      </w:r>
      <w:r w:rsidR="006B26BD">
        <w:t>required,</w:t>
      </w:r>
      <w:r>
        <w:t xml:space="preserve"> </w:t>
      </w:r>
      <w:r w:rsidR="006A0776" w:rsidRPr="00E97596">
        <w:t>and convalescence</w:t>
      </w:r>
      <w:r>
        <w:t xml:space="preserve"> may be prolonged.</w:t>
      </w:r>
      <w:r w:rsidRPr="00AF6C6A">
        <w:t xml:space="preserve"> </w:t>
      </w:r>
      <w:r w:rsidR="00E96D8E">
        <w:t>S</w:t>
      </w:r>
      <w:r w:rsidR="00E96D8E" w:rsidRPr="00E96D8E">
        <w:t xml:space="preserve">ymptoms of schistosomiasis are not caused by the worms themselves but by the body’s reaction to the eggs. Many infections are asymptomatic. </w:t>
      </w:r>
      <w:r>
        <w:t>The classic sign of urogenital schistosomiasis is hematuria</w:t>
      </w:r>
      <w:r w:rsidR="003328FA">
        <w:t xml:space="preserve"> (blood in urine)</w:t>
      </w:r>
      <w:r>
        <w:t>. Kidney damage, bladder and ureter fibrosis, and bladder cancer can occur in advanced cases. In women, urogenital schistosomiasis may present with genital lesions, vaginal bleeding, vulval nodules</w:t>
      </w:r>
      <w:r w:rsidR="00CB7135">
        <w:t>,</w:t>
      </w:r>
      <w:r>
        <w:t xml:space="preserve"> and painful coitus. In men, urogenital schistosomiasis can induce pathology of the seminal vesicles, prostate</w:t>
      </w:r>
      <w:r w:rsidR="00187850">
        <w:t>,</w:t>
      </w:r>
      <w:r>
        <w:t xml:space="preserve"> and other organs. This disease may also have other long-term irreversible consequences, including infertility. </w:t>
      </w:r>
      <w:r w:rsidR="003328FA">
        <w:t>There are no vaccines, and t</w:t>
      </w:r>
      <w:r w:rsidR="00E96D8E">
        <w:t xml:space="preserve">reatment may include </w:t>
      </w:r>
      <w:r w:rsidR="00E96D8E" w:rsidRPr="00E96D8E">
        <w:t>praziquantel</w:t>
      </w:r>
      <w:bookmarkEnd w:id="69"/>
      <w:r w:rsidR="00E96D8E" w:rsidRPr="00E96D8E">
        <w:t>.</w:t>
      </w:r>
      <w:r w:rsidR="00E96D8E">
        <w:t xml:space="preserve"> </w:t>
      </w:r>
    </w:p>
    <w:p w14:paraId="7555FC20" w14:textId="77777777" w:rsidR="006A0776" w:rsidRDefault="006A0776" w:rsidP="002F0040"/>
    <w:p w14:paraId="3C56325D" w14:textId="77777777" w:rsidR="00CB7135" w:rsidRDefault="00CB7135" w:rsidP="002F0040"/>
    <w:p w14:paraId="2DED88FA" w14:textId="77777777" w:rsidR="00CB7135" w:rsidRPr="00E97596" w:rsidRDefault="00CB7135" w:rsidP="002F0040"/>
    <w:p w14:paraId="7EB63DE6" w14:textId="74915205" w:rsidR="006A0776" w:rsidRPr="00E97596" w:rsidRDefault="006A0776" w:rsidP="00FD4769">
      <w:pPr>
        <w:pStyle w:val="Heading3"/>
      </w:pPr>
      <w:r w:rsidRPr="001575BC">
        <w:rPr>
          <w:highlight w:val="yellow"/>
        </w:rPr>
        <w:lastRenderedPageBreak/>
        <w:t>Leptospirosis</w:t>
      </w:r>
    </w:p>
    <w:p w14:paraId="30719E83" w14:textId="77777777" w:rsidR="006A0776" w:rsidRPr="00E97596" w:rsidRDefault="006A0776" w:rsidP="002F0040"/>
    <w:p w14:paraId="11DAC81B" w14:textId="5DE5C644" w:rsidR="00AA4FB4" w:rsidRPr="00B77898" w:rsidRDefault="00B77898" w:rsidP="00C55417">
      <w:bookmarkStart w:id="70" w:name="_Hlk137451480"/>
      <w:r w:rsidRPr="00E97596">
        <w:t xml:space="preserve">Leptospirosis </w:t>
      </w:r>
      <w:r w:rsidR="00E96D8E">
        <w:t xml:space="preserve">(Weil’s Disease) </w:t>
      </w:r>
      <w:r w:rsidRPr="00E97596">
        <w:t xml:space="preserve">is a disease caused by bacteria </w:t>
      </w:r>
      <w:r w:rsidR="00E96D8E">
        <w:t xml:space="preserve">of the genus </w:t>
      </w:r>
      <w:r w:rsidR="00E96D8E" w:rsidRPr="00766A8B">
        <w:rPr>
          <w:i/>
          <w:iCs/>
        </w:rPr>
        <w:t>Leptospira</w:t>
      </w:r>
      <w:r w:rsidR="00E96D8E">
        <w:t xml:space="preserve"> </w:t>
      </w:r>
      <w:r w:rsidRPr="00E97596">
        <w:t xml:space="preserve">that infected animals spread through their urine. </w:t>
      </w:r>
      <w:r w:rsidR="00E96D8E">
        <w:t>Leptospirosis can occur from exposure to soil or freshwater (river, canal, lake) that contains infected urine</w:t>
      </w:r>
      <w:r w:rsidR="0079183E">
        <w:t>, which can</w:t>
      </w:r>
      <w:r w:rsidR="00E96D8E">
        <w:t xml:space="preserve"> enter the mouth, eyes</w:t>
      </w:r>
      <w:r w:rsidR="00766A8B">
        <w:t>,</w:t>
      </w:r>
      <w:r w:rsidR="00E96D8E">
        <w:t xml:space="preserve"> or a cut during swimming</w:t>
      </w:r>
      <w:r w:rsidR="00C55417">
        <w:t xml:space="preserve">, </w:t>
      </w:r>
      <w:r w:rsidR="00E96D8E">
        <w:t>fishing</w:t>
      </w:r>
      <w:r w:rsidR="00766A8B">
        <w:t>,</w:t>
      </w:r>
      <w:r w:rsidR="00C55417">
        <w:t xml:space="preserve"> wading, or contact with </w:t>
      </w:r>
      <w:r w:rsidR="00E96D8E">
        <w:t>infected animals</w:t>
      </w:r>
      <w:r w:rsidR="00C55417">
        <w:t xml:space="preserve">. </w:t>
      </w:r>
      <w:r w:rsidRPr="00E97596">
        <w:t xml:space="preserve">Some people </w:t>
      </w:r>
      <w:r w:rsidR="00C4373F" w:rsidRPr="00E97596">
        <w:t>with</w:t>
      </w:r>
      <w:r w:rsidRPr="00E97596">
        <w:t xml:space="preserve"> leptospirosis will not have symptoms. When </w:t>
      </w:r>
      <w:r w:rsidR="00C4373F" w:rsidRPr="00E97596">
        <w:t>symptoms</w:t>
      </w:r>
      <w:r w:rsidRPr="00E97596">
        <w:t xml:space="preserve"> do occur, they can include fever, headache, chills, muscle aches, vomiting, jaundice, red eyes, stomach pain, diarrhea, and sometimes a rash. Without antibiotic treatment</w:t>
      </w:r>
      <w:r w:rsidR="0079183E">
        <w:t>,</w:t>
      </w:r>
      <w:r w:rsidRPr="00E97596">
        <w:t xml:space="preserve"> kidney and liver damage may </w:t>
      </w:r>
      <w:r w:rsidR="00C4373F" w:rsidRPr="00E97596">
        <w:t>occur</w:t>
      </w:r>
      <w:r w:rsidRPr="00E97596">
        <w:t xml:space="preserve">. </w:t>
      </w:r>
      <w:r w:rsidR="00C55417">
        <w:t>To reduce risk of infection</w:t>
      </w:r>
      <w:r w:rsidR="00886436">
        <w:t>,</w:t>
      </w:r>
      <w:r w:rsidR="00C55417">
        <w:t xml:space="preserve"> promptly clean wounds with clean water, </w:t>
      </w:r>
      <w:r w:rsidR="0079183E">
        <w:t xml:space="preserve">quickly </w:t>
      </w:r>
      <w:r w:rsidR="00C55417">
        <w:t>shower if in contact with contaminated water, wear protective clothing, do not touch dead animals with bare hands, and do not drink untreated freshwater from rivers</w:t>
      </w:r>
      <w:r w:rsidR="0079183E">
        <w:t>,</w:t>
      </w:r>
      <w:r w:rsidR="00C55417">
        <w:t xml:space="preserve"> canals</w:t>
      </w:r>
      <w:r w:rsidR="0079183E">
        <w:t>,</w:t>
      </w:r>
      <w:r w:rsidR="00C55417">
        <w:t xml:space="preserve"> or lakes. </w:t>
      </w:r>
      <w:r w:rsidR="00E96D8E" w:rsidRPr="00E96D8E">
        <w:t>Leptospirosis is treated with antibiotics, such as doxycycline or penicillin</w:t>
      </w:r>
      <w:r w:rsidR="00E96D8E">
        <w:t xml:space="preserve">. </w:t>
      </w:r>
      <w:r w:rsidR="00C55417" w:rsidRPr="00C55417">
        <w:t>There is no vaccine approved in the United States to prevent leptospirosis</w:t>
      </w:r>
      <w:bookmarkEnd w:id="70"/>
      <w:r w:rsidR="00C55417" w:rsidRPr="00C55417">
        <w:t>.</w:t>
      </w:r>
    </w:p>
    <w:p w14:paraId="43DDBEB3" w14:textId="77777777" w:rsidR="006A0776" w:rsidRPr="00F83550" w:rsidRDefault="006A0776" w:rsidP="002F0040"/>
    <w:p w14:paraId="00893E84" w14:textId="2916E87C" w:rsidR="00AA1977" w:rsidRPr="00126EFE" w:rsidRDefault="00AA1977" w:rsidP="00580B36">
      <w:pPr>
        <w:pStyle w:val="Heading2"/>
      </w:pPr>
      <w:r w:rsidRPr="00126EFE">
        <w:t>Respiratory Diseases</w:t>
      </w:r>
    </w:p>
    <w:p w14:paraId="7FFFB4AB" w14:textId="77777777" w:rsidR="006A0776" w:rsidRPr="00126EFE" w:rsidRDefault="006A0776" w:rsidP="002F0040"/>
    <w:p w14:paraId="0FC3097F" w14:textId="0D0E1132" w:rsidR="006A0776" w:rsidRPr="002F2E05" w:rsidRDefault="006A0776" w:rsidP="002F0040">
      <w:r w:rsidRPr="002F2E05">
        <w:t xml:space="preserve">Although not specifically assessed in this document, deployed U.S. </w:t>
      </w:r>
      <w:r w:rsidR="008F7A08">
        <w:t>F</w:t>
      </w:r>
      <w:r w:rsidR="008F7A08" w:rsidRPr="002F2E05">
        <w:t xml:space="preserve">orces </w:t>
      </w:r>
      <w:r w:rsidRPr="002F2E05">
        <w:t xml:space="preserve">may be exposed to a wide variety of common respiratory infections </w:t>
      </w:r>
      <w:r w:rsidR="003F5046">
        <w:t>from</w:t>
      </w:r>
      <w:r w:rsidR="003F5046" w:rsidRPr="002F2E05">
        <w:t xml:space="preserve"> </w:t>
      </w:r>
      <w:r w:rsidRPr="002F2E05">
        <w:t>the local population</w:t>
      </w:r>
      <w:r w:rsidR="002C6D14" w:rsidRPr="002F2E05">
        <w:t xml:space="preserve">. </w:t>
      </w:r>
      <w:r w:rsidRPr="002F2E05">
        <w:t>These include influenza, pertussis, viral upper respiratory infections, viral and bacterial pneumonia, and others</w:t>
      </w:r>
      <w:r w:rsidR="002C6D14" w:rsidRPr="002F2E05">
        <w:t xml:space="preserve">. </w:t>
      </w:r>
      <w:r w:rsidRPr="002F2E05">
        <w:t xml:space="preserve">The U.S. military populations living in close-quarter conditions </w:t>
      </w:r>
      <w:bookmarkStart w:id="71" w:name="_Hlk137451560"/>
      <w:r w:rsidR="00C55417">
        <w:t>(e.g., barracks, ships)</w:t>
      </w:r>
      <w:bookmarkEnd w:id="71"/>
      <w:r w:rsidR="00C55417">
        <w:t xml:space="preserve"> </w:t>
      </w:r>
      <w:r w:rsidRPr="002F2E05">
        <w:t>are at risk for substantial person-to-person spread of respiratory pathogens</w:t>
      </w:r>
      <w:r w:rsidR="002C6D14" w:rsidRPr="002F2E05">
        <w:t xml:space="preserve">. </w:t>
      </w:r>
      <w:r w:rsidRPr="002F2E05">
        <w:t xml:space="preserve">Influenza is of particular concern because of its ability to debilitate large numbers of unvaccinated personnel for several days. Mitigation strategies </w:t>
      </w:r>
      <w:r w:rsidR="00320B6E" w:rsidRPr="002F2E05">
        <w:t>included</w:t>
      </w:r>
      <w:r w:rsidRPr="002F2E05">
        <w:t xml:space="preserve"> routine medical screenings, </w:t>
      </w:r>
      <w:r w:rsidR="00071D4F">
        <w:t>vaccinations</w:t>
      </w:r>
      <w:r w:rsidRPr="002F2E05">
        <w:t xml:space="preserve">, enforcing space allocation in housing units, implementing head-to-toe sleeping in crowded housing units, </w:t>
      </w:r>
      <w:r w:rsidR="00EB325F" w:rsidRPr="002F2E05">
        <w:t>implement</w:t>
      </w:r>
      <w:r w:rsidR="00EB325F">
        <w:t>ing</w:t>
      </w:r>
      <w:r w:rsidR="00EB325F" w:rsidRPr="002F2E05">
        <w:t xml:space="preserve"> </w:t>
      </w:r>
      <w:r w:rsidRPr="002F2E05">
        <w:t xml:space="preserve">proper </w:t>
      </w:r>
      <w:r w:rsidRPr="002F2E05">
        <w:rPr>
          <w:bCs/>
        </w:rPr>
        <w:t>personal protective equipment</w:t>
      </w:r>
      <w:r w:rsidRPr="002F2E05">
        <w:t xml:space="preserve"> (</w:t>
      </w:r>
      <w:r w:rsidRPr="002F2E05">
        <w:rPr>
          <w:bCs/>
        </w:rPr>
        <w:t>PPE</w:t>
      </w:r>
      <w:r w:rsidRPr="002F2E05">
        <w:t>) when necessary for healthcare providers and detention facility personnel</w:t>
      </w:r>
      <w:bookmarkStart w:id="72" w:name="_Hlk137451585"/>
      <w:r w:rsidR="00C55417">
        <w:t>, and prompt isolation and treatment of those with infections</w:t>
      </w:r>
      <w:bookmarkEnd w:id="72"/>
      <w:r w:rsidR="00C55417">
        <w:t>.</w:t>
      </w:r>
    </w:p>
    <w:p w14:paraId="48500CE7" w14:textId="77777777" w:rsidR="006A0776" w:rsidRPr="002F2E05" w:rsidRDefault="006A0776" w:rsidP="002F0040"/>
    <w:p w14:paraId="420BC37F" w14:textId="2ADEE3E3" w:rsidR="006A0776" w:rsidRPr="00E97596" w:rsidRDefault="005A66F1" w:rsidP="00FD4769">
      <w:pPr>
        <w:pStyle w:val="Heading3"/>
      </w:pPr>
      <w:r w:rsidRPr="001575BC">
        <w:rPr>
          <w:highlight w:val="yellow"/>
        </w:rPr>
        <w:t>Tuberculosis (</w:t>
      </w:r>
      <w:r w:rsidR="006A0776" w:rsidRPr="001575BC">
        <w:rPr>
          <w:highlight w:val="yellow"/>
        </w:rPr>
        <w:t>TB</w:t>
      </w:r>
      <w:r w:rsidRPr="001575BC">
        <w:rPr>
          <w:highlight w:val="yellow"/>
        </w:rPr>
        <w:t>)</w:t>
      </w:r>
      <w:r w:rsidR="006A0776" w:rsidRPr="00E97596">
        <w:t xml:space="preserve"> </w:t>
      </w:r>
    </w:p>
    <w:p w14:paraId="5857C736" w14:textId="77777777" w:rsidR="00EA575F" w:rsidRPr="00E97596" w:rsidRDefault="00EA575F" w:rsidP="002F0040"/>
    <w:p w14:paraId="0F60A3F9" w14:textId="5358122B" w:rsidR="0034067B" w:rsidRPr="00E97596" w:rsidRDefault="00EB325F" w:rsidP="002F0040">
      <w:bookmarkStart w:id="73" w:name="_Hlk137451601"/>
      <w:r>
        <w:t>TB</w:t>
      </w:r>
      <w:r w:rsidRPr="00C55417">
        <w:t xml:space="preserve"> </w:t>
      </w:r>
      <w:r w:rsidR="00C55417" w:rsidRPr="00C55417">
        <w:t>is caused by</w:t>
      </w:r>
      <w:r w:rsidR="00C55417">
        <w:t xml:space="preserve"> bacteria of genus </w:t>
      </w:r>
      <w:r w:rsidR="00C55417" w:rsidRPr="00071D4F">
        <w:rPr>
          <w:i/>
          <w:iCs/>
        </w:rPr>
        <w:t>Mycobacterium</w:t>
      </w:r>
      <w:r>
        <w:rPr>
          <w:i/>
          <w:iCs/>
        </w:rPr>
        <w:t>,</w:t>
      </w:r>
      <w:r w:rsidR="00C55417" w:rsidRPr="00C55417">
        <w:t xml:space="preserve"> </w:t>
      </w:r>
      <w:r>
        <w:t>which</w:t>
      </w:r>
      <w:r w:rsidR="0034067B" w:rsidRPr="00E97596">
        <w:t xml:space="preserve"> is spread </w:t>
      </w:r>
      <w:r w:rsidR="003F5046">
        <w:t xml:space="preserve">primarily </w:t>
      </w:r>
      <w:r w:rsidR="0034067B" w:rsidRPr="00E97596">
        <w:t>in the air to others when coughing, speaking</w:t>
      </w:r>
      <w:r w:rsidR="2CF2D6EA">
        <w:t>,</w:t>
      </w:r>
      <w:r w:rsidR="0034067B" w:rsidRPr="00E97596">
        <w:t xml:space="preserve"> or singing. TB bacteria in the l</w:t>
      </w:r>
      <w:r w:rsidR="005A66F1" w:rsidRPr="00E97596">
        <w:t>u</w:t>
      </w:r>
      <w:r w:rsidR="0034067B" w:rsidRPr="00E97596">
        <w:t xml:space="preserve">ngs can move through the blood to infect other parts of the body, such as the kidney, spine, and brain. Symptoms of TB disease in the lungs include cough, pain, weakness, weight loss, chills, fever, and night sweats. Although a TB vaccine </w:t>
      </w:r>
      <w:r w:rsidR="003F5046">
        <w:t>(</w:t>
      </w:r>
      <w:r w:rsidR="004A5EAF" w:rsidRPr="004A5EAF">
        <w:t>bacille Calmette-Guerin</w:t>
      </w:r>
      <w:r w:rsidR="004A5EAF">
        <w:t>/</w:t>
      </w:r>
      <w:r w:rsidR="003F5046">
        <w:t xml:space="preserve">BCG) </w:t>
      </w:r>
      <w:r w:rsidR="0034067B" w:rsidRPr="00E97596">
        <w:t xml:space="preserve">does exist, it is not </w:t>
      </w:r>
      <w:r w:rsidR="003F5046">
        <w:t xml:space="preserve">approved for use in the U.S. due to its limited </w:t>
      </w:r>
      <w:r w:rsidR="0034067B" w:rsidRPr="00E97596">
        <w:t>effectiveness</w:t>
      </w:r>
      <w:r w:rsidR="00680ED8">
        <w:t xml:space="preserve"> in adults</w:t>
      </w:r>
      <w:r w:rsidR="0034067B" w:rsidRPr="00E97596">
        <w:t xml:space="preserve">. </w:t>
      </w:r>
      <w:r w:rsidR="004A5EAF" w:rsidRPr="004A5EAF">
        <w:t>BCG is used in many countries with a high prevalence of TB to prevent childhood tuberculous meningitis and miliary disease.</w:t>
      </w:r>
      <w:r w:rsidR="004A5EAF">
        <w:t xml:space="preserve"> TB can </w:t>
      </w:r>
      <w:r w:rsidR="007D072B">
        <w:t xml:space="preserve">be </w:t>
      </w:r>
      <w:r w:rsidR="004A5EAF">
        <w:t>prevented with communicable disease control measures and treatment of latent TB. Treatment is with multiple simultaneous antibiotics</w:t>
      </w:r>
      <w:r w:rsidR="00BE728E">
        <w:t xml:space="preserve">, possibly for </w:t>
      </w:r>
      <w:r w:rsidR="004A5EAF">
        <w:t>4</w:t>
      </w:r>
      <w:r>
        <w:rPr>
          <w:rFonts w:cs="Arial"/>
        </w:rPr>
        <w:t>–</w:t>
      </w:r>
      <w:r w:rsidR="004A5EAF">
        <w:t>6 months or longer. Multidrug-resistant TB (MDR-TB) and extensively drug-resistant TB (XDR-TB) are more difficult and prolonged to treat.</w:t>
      </w:r>
    </w:p>
    <w:bookmarkEnd w:id="73"/>
    <w:p w14:paraId="330DF264" w14:textId="77777777" w:rsidR="006A0776" w:rsidRPr="00E97596" w:rsidRDefault="006A0776" w:rsidP="002F0040"/>
    <w:p w14:paraId="15DB49A9" w14:textId="429B22BF" w:rsidR="0034067B" w:rsidRPr="00E97596" w:rsidRDefault="0034067B" w:rsidP="00FD4769">
      <w:pPr>
        <w:pStyle w:val="Heading3"/>
      </w:pPr>
      <w:r w:rsidRPr="001575BC">
        <w:rPr>
          <w:highlight w:val="yellow"/>
        </w:rPr>
        <w:t>Middle East Respiratory Syndrome (MERS)</w:t>
      </w:r>
    </w:p>
    <w:p w14:paraId="001D1869" w14:textId="424BA49C" w:rsidR="0034067B" w:rsidRPr="00E97596" w:rsidRDefault="0034067B" w:rsidP="002F0040"/>
    <w:p w14:paraId="6AF6D2DB" w14:textId="39CEA103" w:rsidR="0034067B" w:rsidRPr="00E97596" w:rsidRDefault="0034067B" w:rsidP="002F0040">
      <w:pPr>
        <w:rPr>
          <w:iCs/>
        </w:rPr>
      </w:pPr>
      <w:r w:rsidRPr="00E97596">
        <w:t xml:space="preserve">The MERS coronavirus </w:t>
      </w:r>
      <w:r w:rsidR="00533E7B">
        <w:t>(MERS-</w:t>
      </w:r>
      <w:proofErr w:type="spellStart"/>
      <w:r w:rsidR="00533E7B">
        <w:t>CoV</w:t>
      </w:r>
      <w:proofErr w:type="spellEnd"/>
      <w:r w:rsidR="00533E7B">
        <w:t xml:space="preserve">) </w:t>
      </w:r>
      <w:r w:rsidRPr="00E97596">
        <w:t xml:space="preserve">is genetically </w:t>
      </w:r>
      <w:proofErr w:type="gramStart"/>
      <w:r w:rsidRPr="00E97596">
        <w:t>similar to</w:t>
      </w:r>
      <w:proofErr w:type="gramEnd"/>
      <w:r w:rsidRPr="00E97596">
        <w:t xml:space="preserve"> bat coronaviruses and has been detected in camels in North Africa and the Arabian Peninsula. Evidence suggests that the virus </w:t>
      </w:r>
      <w:r w:rsidRPr="00E97596">
        <w:lastRenderedPageBreak/>
        <w:t>can be spread from person</w:t>
      </w:r>
      <w:r w:rsidR="0031798F">
        <w:t>-</w:t>
      </w:r>
      <w:r w:rsidR="00D83FE9" w:rsidRPr="00E97596">
        <w:t>to</w:t>
      </w:r>
      <w:r w:rsidR="0031798F">
        <w:t>-</w:t>
      </w:r>
      <w:r w:rsidR="00D83FE9" w:rsidRPr="00E97596">
        <w:t>person among close contacts</w:t>
      </w:r>
      <w:r w:rsidRPr="00E97596">
        <w:t>.</w:t>
      </w:r>
      <w:r w:rsidR="00D83FE9" w:rsidRPr="00E97596">
        <w:t xml:space="preserve"> </w:t>
      </w:r>
      <w:r w:rsidR="00533E7B">
        <w:t xml:space="preserve">MERS causes a </w:t>
      </w:r>
      <w:r w:rsidR="00533E7B" w:rsidRPr="00533E7B">
        <w:t>wide clinical spectrum of MERS-</w:t>
      </w:r>
      <w:proofErr w:type="spellStart"/>
      <w:r w:rsidR="00533E7B" w:rsidRPr="00533E7B">
        <w:t>CoV</w:t>
      </w:r>
      <w:proofErr w:type="spellEnd"/>
      <w:r w:rsidR="00533E7B" w:rsidRPr="00533E7B">
        <w:t xml:space="preserve"> </w:t>
      </w:r>
      <w:r w:rsidR="00533E7B">
        <w:t xml:space="preserve">infection </w:t>
      </w:r>
      <w:r w:rsidR="00533E7B" w:rsidRPr="00533E7B">
        <w:t xml:space="preserve">ranging </w:t>
      </w:r>
      <w:r w:rsidR="000C55A7">
        <w:t xml:space="preserve">in severity </w:t>
      </w:r>
      <w:r w:rsidR="007D072B" w:rsidRPr="00533E7B">
        <w:t>from asymptomatic infection</w:t>
      </w:r>
      <w:r w:rsidR="000C55A7">
        <w:t xml:space="preserve"> to milder illness to a severe illness</w:t>
      </w:r>
      <w:r w:rsidR="005E37A4">
        <w:t>,</w:t>
      </w:r>
      <w:r w:rsidR="000C55A7">
        <w:t xml:space="preserve"> with a </w:t>
      </w:r>
      <w:r w:rsidR="00533E7B" w:rsidRPr="00533E7B">
        <w:t>rapidly progressive pneumonitis, respiratory failure, septic shock</w:t>
      </w:r>
      <w:r w:rsidR="5CA6C4F2">
        <w:t>,</w:t>
      </w:r>
      <w:r w:rsidR="00533E7B" w:rsidRPr="00533E7B">
        <w:t xml:space="preserve"> and multi-organ failure</w:t>
      </w:r>
      <w:r w:rsidR="005E37A4">
        <w:t>,</w:t>
      </w:r>
      <w:r w:rsidR="00533E7B" w:rsidRPr="00533E7B">
        <w:t xml:space="preserve"> resulting in death. </w:t>
      </w:r>
      <w:r w:rsidR="00533E7B">
        <w:t>At</w:t>
      </w:r>
      <w:r w:rsidR="00533E7B" w:rsidRPr="00533E7B">
        <w:t xml:space="preserve"> hospital admission, common signs and symptoms include fever, chills/rigors, headache, non-productive cough, dyspnea, and myalgia. Other symptoms can include sore throat, coryza, sputum production, dizziness, nausea</w:t>
      </w:r>
      <w:r w:rsidR="4A86B7BB">
        <w:t>,</w:t>
      </w:r>
      <w:r w:rsidR="00533E7B" w:rsidRPr="00533E7B">
        <w:t xml:space="preserve"> and vomiting, diarrhea, and abdominal pain.</w:t>
      </w:r>
      <w:r w:rsidR="00533E7B">
        <w:t xml:space="preserve"> Prevention consists of </w:t>
      </w:r>
      <w:r w:rsidR="00D83FE9" w:rsidRPr="00E97596">
        <w:t>frequent handwashing; avoid</w:t>
      </w:r>
      <w:r w:rsidR="005E37A4">
        <w:t>ing</w:t>
      </w:r>
      <w:r w:rsidR="00D83FE9" w:rsidRPr="00E97596">
        <w:t xml:space="preserve"> touching the eyes, nose, and mouth; and avoiding contact with sick people.</w:t>
      </w:r>
      <w:r w:rsidR="00BB22C7" w:rsidRPr="00E97596">
        <w:t xml:space="preserve"> </w:t>
      </w:r>
      <w:r w:rsidR="00D83FE9" w:rsidRPr="00E97596">
        <w:t>The World Health Organization (WHO) recommends avoiding contact with camels, drinking raw camel milk or raw camel urine, and not consuming undercooked meat, particularly camel meat.</w:t>
      </w:r>
      <w:r w:rsidR="00533E7B">
        <w:t xml:space="preserve"> </w:t>
      </w:r>
      <w:r w:rsidR="000C55A7" w:rsidRPr="000C55A7">
        <w:t>No vaccine or specific treatment for MERS is currently available</w:t>
      </w:r>
      <w:r w:rsidR="00C03308">
        <w:t>.</w:t>
      </w:r>
    </w:p>
    <w:p w14:paraId="2DB8A59B" w14:textId="5A50B280" w:rsidR="0034067B" w:rsidRPr="00E97596" w:rsidRDefault="0034067B" w:rsidP="002F0040"/>
    <w:p w14:paraId="6E59E8DA" w14:textId="7E73D134" w:rsidR="00D83FE9" w:rsidRPr="00E97596" w:rsidRDefault="00D83FE9" w:rsidP="00FD4769">
      <w:pPr>
        <w:pStyle w:val="Heading3"/>
      </w:pPr>
      <w:r w:rsidRPr="001575BC">
        <w:rPr>
          <w:highlight w:val="yellow"/>
        </w:rPr>
        <w:t>C</w:t>
      </w:r>
      <w:r w:rsidR="00470A83" w:rsidRPr="001575BC">
        <w:rPr>
          <w:highlight w:val="yellow"/>
        </w:rPr>
        <w:t>OVID</w:t>
      </w:r>
      <w:r w:rsidRPr="001575BC">
        <w:rPr>
          <w:highlight w:val="yellow"/>
        </w:rPr>
        <w:t>-19</w:t>
      </w:r>
    </w:p>
    <w:p w14:paraId="2E54EAD1" w14:textId="77777777" w:rsidR="00D83FE9" w:rsidRDefault="00D83FE9" w:rsidP="002F0040"/>
    <w:p w14:paraId="492D2592" w14:textId="66C36493" w:rsidR="00D1043F" w:rsidRPr="00D1043F" w:rsidRDefault="00D1043F" w:rsidP="002F0040">
      <w:pPr>
        <w:rPr>
          <w:b/>
          <w:bCs/>
          <w:color w:val="0070C0"/>
        </w:rPr>
      </w:pPr>
      <w:r w:rsidRPr="00D1043F">
        <w:rPr>
          <w:b/>
          <w:bCs/>
          <w:color w:val="0070C0"/>
        </w:rPr>
        <w:t>[Include this for POEMS 2020-]</w:t>
      </w:r>
    </w:p>
    <w:p w14:paraId="03647A51" w14:textId="77777777" w:rsidR="00D1043F" w:rsidRPr="00E97596" w:rsidRDefault="00D1043F" w:rsidP="002F0040"/>
    <w:p w14:paraId="64DCC4D8" w14:textId="6C4708F1" w:rsidR="00D83FE9" w:rsidRPr="00E97596" w:rsidRDefault="00457155" w:rsidP="002F0040">
      <w:r>
        <w:t xml:space="preserve">According to the CDC, </w:t>
      </w:r>
      <w:r w:rsidR="00D83FE9" w:rsidRPr="00E97596">
        <w:t>C</w:t>
      </w:r>
      <w:r w:rsidR="00470A83" w:rsidRPr="00E97596">
        <w:t>OVID</w:t>
      </w:r>
      <w:r w:rsidR="00D83FE9" w:rsidRPr="00E97596">
        <w:t xml:space="preserve">-19 </w:t>
      </w:r>
      <w:r w:rsidR="006B48F5">
        <w:t xml:space="preserve">is a coronavirus </w:t>
      </w:r>
      <w:r w:rsidR="000C55A7">
        <w:t xml:space="preserve">caused by SARS-CoV2, </w:t>
      </w:r>
      <w:r w:rsidR="006B48F5">
        <w:t xml:space="preserve">with </w:t>
      </w:r>
      <w:r w:rsidR="00D83FE9" w:rsidRPr="00E97596">
        <w:t xml:space="preserve">a high </w:t>
      </w:r>
      <w:r w:rsidR="00C4373F" w:rsidRPr="00E97596">
        <w:t>level</w:t>
      </w:r>
      <w:r w:rsidR="00D83FE9" w:rsidRPr="00E97596">
        <w:t xml:space="preserve"> of </w:t>
      </w:r>
      <w:r w:rsidR="00680ED8">
        <w:t>transmissibility</w:t>
      </w:r>
      <w:r w:rsidR="006B48F5">
        <w:t xml:space="preserve"> and infectivity</w:t>
      </w:r>
      <w:r w:rsidR="00D83FE9" w:rsidRPr="00E97596">
        <w:t xml:space="preserve">. The incubation period for </w:t>
      </w:r>
      <w:r w:rsidR="00470A83" w:rsidRPr="00E97596">
        <w:t>COVID</w:t>
      </w:r>
      <w:r w:rsidR="00D83FE9" w:rsidRPr="00E97596">
        <w:t>-19 is 3</w:t>
      </w:r>
      <w:r w:rsidR="005E37A4">
        <w:rPr>
          <w:rFonts w:cs="Arial"/>
        </w:rPr>
        <w:t>–</w:t>
      </w:r>
      <w:r w:rsidR="00D83FE9" w:rsidRPr="00E97596">
        <w:t xml:space="preserve">14 days from exposure. Symptoms can include fever, cough, shortness of breath, </w:t>
      </w:r>
      <w:r w:rsidR="00C4373F" w:rsidRPr="00E97596">
        <w:t>fatigue</w:t>
      </w:r>
      <w:r w:rsidR="00D83FE9" w:rsidRPr="00E97596">
        <w:t>, muscle and body aches, headache, loss of taste or smell, nausea</w:t>
      </w:r>
      <w:r w:rsidR="00541C20">
        <w:t>,</w:t>
      </w:r>
      <w:r w:rsidR="00D83FE9" w:rsidRPr="00E97596">
        <w:t xml:space="preserve"> and diarrhea. </w:t>
      </w:r>
      <w:r w:rsidR="006B48F5">
        <w:t xml:space="preserve">Severe cases may develop, with multi-organ injury </w:t>
      </w:r>
      <w:r w:rsidR="00680ED8">
        <w:t>necessitating hospitalization.</w:t>
      </w:r>
      <w:r w:rsidR="00932661">
        <w:t xml:space="preserve"> </w:t>
      </w:r>
      <w:r w:rsidR="00120B3B">
        <w:t>Since</w:t>
      </w:r>
      <w:r w:rsidR="00575824">
        <w:t xml:space="preserve"> </w:t>
      </w:r>
      <w:r w:rsidR="00FA1795">
        <w:t>December 2020</w:t>
      </w:r>
      <w:r w:rsidR="00575824">
        <w:t xml:space="preserve">, </w:t>
      </w:r>
      <w:r w:rsidR="005E37A4">
        <w:t xml:space="preserve">the Food and Drug Administration authorized </w:t>
      </w:r>
      <w:r w:rsidR="00575824">
        <w:t>s</w:t>
      </w:r>
      <w:r w:rsidR="00D83FE9" w:rsidRPr="00E97596">
        <w:t xml:space="preserve">everal vaccines </w:t>
      </w:r>
      <w:r w:rsidR="00470A83" w:rsidRPr="00E97596">
        <w:t xml:space="preserve">in the U.S. for decreasing the </w:t>
      </w:r>
      <w:r w:rsidR="006B48F5">
        <w:t xml:space="preserve">likelihood of </w:t>
      </w:r>
      <w:r w:rsidR="00470A83" w:rsidRPr="00E97596">
        <w:t>hospitalization and death</w:t>
      </w:r>
      <w:r w:rsidR="00D83FE9" w:rsidRPr="00E97596">
        <w:t>.</w:t>
      </w:r>
      <w:r w:rsidR="006B48F5">
        <w:t xml:space="preserve"> </w:t>
      </w:r>
      <w:r w:rsidR="00512A64">
        <w:t>T</w:t>
      </w:r>
      <w:r w:rsidR="006B48F5">
        <w:t>he vaccine</w:t>
      </w:r>
      <w:r w:rsidR="00013DA1">
        <w:t>s</w:t>
      </w:r>
      <w:r w:rsidR="006B48F5">
        <w:t xml:space="preserve"> do</w:t>
      </w:r>
      <w:r w:rsidR="005E37A4">
        <w:t xml:space="preserve"> not</w:t>
      </w:r>
      <w:r w:rsidR="006B48F5">
        <w:t xml:space="preserve"> significantly reduce transmission.</w:t>
      </w:r>
      <w:r w:rsidR="000C55A7">
        <w:t xml:space="preserve"> </w:t>
      </w:r>
      <w:r w:rsidR="00541C20">
        <w:t>O</w:t>
      </w:r>
      <w:r w:rsidR="000C55A7">
        <w:t xml:space="preserve">ral antiviral treatments </w:t>
      </w:r>
      <w:r w:rsidR="00541C20">
        <w:t xml:space="preserve">are </w:t>
      </w:r>
      <w:r w:rsidR="000C55A7">
        <w:t xml:space="preserve">available including </w:t>
      </w:r>
      <w:r w:rsidR="000C55A7" w:rsidRPr="000C55A7">
        <w:t xml:space="preserve">nirmatrelvir with ritonavir (Paxlovid™) </w:t>
      </w:r>
      <w:r w:rsidR="000C55A7">
        <w:t xml:space="preserve">or </w:t>
      </w:r>
      <w:proofErr w:type="spellStart"/>
      <w:r w:rsidR="000C55A7" w:rsidRPr="000C55A7">
        <w:t>molnupiravir</w:t>
      </w:r>
      <w:proofErr w:type="spellEnd"/>
      <w:r w:rsidR="000C55A7">
        <w:t xml:space="preserve"> (</w:t>
      </w:r>
      <w:proofErr w:type="spellStart"/>
      <w:r w:rsidR="000C55A7" w:rsidRPr="000C55A7">
        <w:t>L</w:t>
      </w:r>
      <w:r w:rsidR="000C55A7">
        <w:t>agevrio</w:t>
      </w:r>
      <w:bookmarkStart w:id="74" w:name="_Hlk133232975"/>
      <w:proofErr w:type="spellEnd"/>
      <w:r w:rsidR="000C55A7" w:rsidRPr="000C55A7">
        <w:t>™</w:t>
      </w:r>
      <w:bookmarkEnd w:id="74"/>
      <w:r w:rsidR="000C55A7">
        <w:t>), and i</w:t>
      </w:r>
      <w:r w:rsidR="000C55A7" w:rsidRPr="000C55A7">
        <w:t>ntravenous remdesivir (</w:t>
      </w:r>
      <w:proofErr w:type="spellStart"/>
      <w:r w:rsidR="000C55A7" w:rsidRPr="000C55A7">
        <w:t>Veklury</w:t>
      </w:r>
      <w:proofErr w:type="spellEnd"/>
      <w:r w:rsidR="000C55A7" w:rsidRPr="000C55A7">
        <w:t>™)</w:t>
      </w:r>
      <w:r w:rsidR="000C55A7">
        <w:t xml:space="preserve">, which are used to treat those at </w:t>
      </w:r>
      <w:r w:rsidR="000C55A7" w:rsidRPr="000C55A7">
        <w:t>risk for progression to severe COVID-19.</w:t>
      </w:r>
    </w:p>
    <w:p w14:paraId="6B4BE22C" w14:textId="77777777" w:rsidR="00BB22C7" w:rsidRPr="00E97596" w:rsidRDefault="00BB22C7" w:rsidP="002F0040"/>
    <w:p w14:paraId="62A939C2" w14:textId="7752097A" w:rsidR="00BB22C7" w:rsidRPr="00E97596" w:rsidRDefault="00BB22C7" w:rsidP="00FD4769">
      <w:pPr>
        <w:pStyle w:val="Heading3"/>
      </w:pPr>
      <w:r w:rsidRPr="001575BC">
        <w:rPr>
          <w:highlight w:val="yellow"/>
        </w:rPr>
        <w:t>Hantavirus</w:t>
      </w:r>
    </w:p>
    <w:p w14:paraId="1119B626" w14:textId="77777777" w:rsidR="00BB22C7" w:rsidRPr="00E97596" w:rsidRDefault="00BB22C7" w:rsidP="002F0040"/>
    <w:p w14:paraId="486101E2" w14:textId="1B7752D2" w:rsidR="00BB22C7" w:rsidRPr="002F2E05" w:rsidRDefault="004F7BD9" w:rsidP="002F0040">
      <w:r w:rsidRPr="004F7BD9">
        <w:t xml:space="preserve">Hantavirus infections are part of the broad group of </w:t>
      </w:r>
      <w:r w:rsidR="00515389">
        <w:t xml:space="preserve">eight </w:t>
      </w:r>
      <w:r w:rsidRPr="004F7BD9">
        <w:t xml:space="preserve">viral hemorrhagic fevers. </w:t>
      </w:r>
      <w:r w:rsidR="000B3340" w:rsidRPr="000B3340">
        <w:t xml:space="preserve">Hantavirus infection </w:t>
      </w:r>
      <w:r>
        <w:t xml:space="preserve">in </w:t>
      </w:r>
      <w:r w:rsidR="000B3340" w:rsidRPr="000B3340">
        <w:t xml:space="preserve">humans causes two </w:t>
      </w:r>
      <w:r>
        <w:t xml:space="preserve">main </w:t>
      </w:r>
      <w:r w:rsidR="000B3340" w:rsidRPr="000B3340">
        <w:t>types of serious illnesses</w:t>
      </w:r>
      <w:r w:rsidR="00515389">
        <w:t>,</w:t>
      </w:r>
      <w:r w:rsidR="000B3340">
        <w:t xml:space="preserve"> both of which can be fatal:</w:t>
      </w:r>
      <w:r w:rsidR="000B3340" w:rsidRPr="000B3340">
        <w:t xml:space="preserve"> H</w:t>
      </w:r>
      <w:r w:rsidR="000B3340">
        <w:t>PS</w:t>
      </w:r>
      <w:r>
        <w:t>/</w:t>
      </w:r>
      <w:r w:rsidR="000B3340">
        <w:t>H</w:t>
      </w:r>
      <w:r w:rsidR="000B3340" w:rsidRPr="000B3340">
        <w:t xml:space="preserve">antavirus </w:t>
      </w:r>
      <w:r w:rsidR="000B3340">
        <w:t>P</w:t>
      </w:r>
      <w:r w:rsidR="000B3340" w:rsidRPr="000B3340">
        <w:t xml:space="preserve">ulmonary </w:t>
      </w:r>
      <w:r w:rsidR="000B3340">
        <w:t>S</w:t>
      </w:r>
      <w:r w:rsidR="000B3340" w:rsidRPr="000B3340">
        <w:t>yndrome</w:t>
      </w:r>
      <w:r>
        <w:t xml:space="preserve"> (also called HCPS/H</w:t>
      </w:r>
      <w:r w:rsidRPr="004F7BD9">
        <w:t xml:space="preserve">antavirus </w:t>
      </w:r>
      <w:r>
        <w:t>C</w:t>
      </w:r>
      <w:r w:rsidRPr="004F7BD9">
        <w:t xml:space="preserve">ardiopulmonary </w:t>
      </w:r>
      <w:r>
        <w:t>S</w:t>
      </w:r>
      <w:r w:rsidRPr="004F7BD9">
        <w:t>yndrome</w:t>
      </w:r>
      <w:r>
        <w:t>)</w:t>
      </w:r>
      <w:r w:rsidRPr="004F7BD9">
        <w:t xml:space="preserve"> </w:t>
      </w:r>
      <w:r>
        <w:t xml:space="preserve">that is </w:t>
      </w:r>
      <w:r w:rsidRPr="004F7BD9">
        <w:t>endemic in the Americas</w:t>
      </w:r>
      <w:r w:rsidR="00515389">
        <w:t>,</w:t>
      </w:r>
      <w:r>
        <w:t xml:space="preserve"> </w:t>
      </w:r>
      <w:r w:rsidR="000B3340" w:rsidRPr="000B3340">
        <w:t>and H</w:t>
      </w:r>
      <w:r w:rsidR="000B3340">
        <w:t>FRS</w:t>
      </w:r>
      <w:r>
        <w:t>/</w:t>
      </w:r>
      <w:r w:rsidR="000B3340">
        <w:t>He</w:t>
      </w:r>
      <w:r w:rsidR="000B3340" w:rsidRPr="000B3340">
        <w:t xml:space="preserve">morrhagic </w:t>
      </w:r>
      <w:r w:rsidR="000B3340">
        <w:t>F</w:t>
      </w:r>
      <w:r w:rsidR="000B3340" w:rsidRPr="000B3340">
        <w:t xml:space="preserve">ever with </w:t>
      </w:r>
      <w:r w:rsidR="000B3340">
        <w:t>R</w:t>
      </w:r>
      <w:r w:rsidR="000B3340" w:rsidRPr="000B3340">
        <w:t xml:space="preserve">enal </w:t>
      </w:r>
      <w:r w:rsidR="000B3340">
        <w:t>S</w:t>
      </w:r>
      <w:r w:rsidR="000B3340" w:rsidRPr="000B3340">
        <w:t>yndrome</w:t>
      </w:r>
      <w:r>
        <w:t xml:space="preserve"> that occurs in Europe and Asia</w:t>
      </w:r>
      <w:r w:rsidR="000B3340" w:rsidRPr="000B3340">
        <w:t xml:space="preserve">. </w:t>
      </w:r>
      <w:r w:rsidR="00CB7ADF">
        <w:t>A</w:t>
      </w:r>
      <w:r w:rsidR="00CB7ADF" w:rsidRPr="00CB7ADF">
        <w:t xml:space="preserve">ll </w:t>
      </w:r>
      <w:r w:rsidR="00CB7ADF">
        <w:t xml:space="preserve">hantavirus </w:t>
      </w:r>
      <w:r w:rsidR="00CB7ADF" w:rsidRPr="00CB7ADF">
        <w:t xml:space="preserve">strains can produce symptoms that range from asymptomatic to severe forms of the disease. </w:t>
      </w:r>
      <w:r w:rsidR="00BB22C7" w:rsidRPr="00E97596">
        <w:t xml:space="preserve">Hantavirus is spread through the air </w:t>
      </w:r>
      <w:r w:rsidR="00680ED8">
        <w:t xml:space="preserve">via </w:t>
      </w:r>
      <w:r>
        <w:t>inhal</w:t>
      </w:r>
      <w:r w:rsidR="004A2E3F">
        <w:t xml:space="preserve">ation </w:t>
      </w:r>
      <w:r>
        <w:t xml:space="preserve">of </w:t>
      </w:r>
      <w:r w:rsidR="004A2E3F">
        <w:t>aerosolized rodent excrement</w:t>
      </w:r>
      <w:r w:rsidR="00680ED8">
        <w:t xml:space="preserve"> </w:t>
      </w:r>
      <w:r w:rsidR="00BB22C7" w:rsidRPr="00E97596">
        <w:t xml:space="preserve">or by eating food contaminated with urine or droppings from rodents. </w:t>
      </w:r>
      <w:r w:rsidR="00680ED8">
        <w:t>L</w:t>
      </w:r>
      <w:r w:rsidR="00680ED8" w:rsidRPr="009D3BB9">
        <w:t>ess frequently</w:t>
      </w:r>
      <w:r w:rsidR="00F05C9F">
        <w:t>,</w:t>
      </w:r>
      <w:r w:rsidR="00680ED8" w:rsidRPr="009D3BB9">
        <w:t xml:space="preserve"> </w:t>
      </w:r>
      <w:r w:rsidR="00B778C3" w:rsidRPr="009D3BB9">
        <w:t xml:space="preserve">an infected </w:t>
      </w:r>
      <w:r w:rsidR="00B778C3">
        <w:t xml:space="preserve">rodent bite can cause </w:t>
      </w:r>
      <w:r w:rsidR="00680ED8">
        <w:t>infection</w:t>
      </w:r>
      <w:r w:rsidR="00680ED8" w:rsidRPr="009D3BB9">
        <w:t>.</w:t>
      </w:r>
      <w:r w:rsidR="00680ED8">
        <w:t xml:space="preserve"> </w:t>
      </w:r>
      <w:r w:rsidR="00CB7ADF">
        <w:t xml:space="preserve">Hantavirus </w:t>
      </w:r>
      <w:r w:rsidR="00BB22C7" w:rsidRPr="00E97596">
        <w:t xml:space="preserve">can cause organ damage, especially to the </w:t>
      </w:r>
      <w:r w:rsidR="00CB7ADF">
        <w:t xml:space="preserve">lungs, </w:t>
      </w:r>
      <w:r w:rsidR="00BB22C7" w:rsidRPr="00E97596">
        <w:t>kidneys</w:t>
      </w:r>
      <w:r w:rsidR="00541C20">
        <w:t>,</w:t>
      </w:r>
      <w:r w:rsidR="00BB22C7" w:rsidRPr="00E97596">
        <w:t xml:space="preserve"> and blood vessels.</w:t>
      </w:r>
      <w:r w:rsidR="00680ED8">
        <w:t xml:space="preserve"> </w:t>
      </w:r>
      <w:r w:rsidR="00BB22C7" w:rsidRPr="00E97596">
        <w:t xml:space="preserve">Symptoms of </w:t>
      </w:r>
      <w:r w:rsidR="00C4373F" w:rsidRPr="00E97596">
        <w:t>Hantavirus</w:t>
      </w:r>
      <w:r w:rsidR="00BB22C7" w:rsidRPr="00E97596">
        <w:t xml:space="preserve"> usually develop </w:t>
      </w:r>
      <w:r w:rsidR="004A2E3F">
        <w:t>2</w:t>
      </w:r>
      <w:r w:rsidR="00BB22C7" w:rsidRPr="00E97596">
        <w:t xml:space="preserve"> to 4 weeks after infection but can occur as early as 1 week. Symptoms can include fatigue, fever, muscle aches, headaches, dizziness, chills, nausea, vomiting, diarrhea, and abdominal pain. </w:t>
      </w:r>
      <w:r w:rsidRPr="004F7BD9">
        <w:t>Complete recovery can take weeks to months.</w:t>
      </w:r>
      <w:r w:rsidR="004A2E3F" w:rsidRPr="004A2E3F">
        <w:t xml:space="preserve"> </w:t>
      </w:r>
      <w:r w:rsidR="004A2E3F">
        <w:t xml:space="preserve">HFRS </w:t>
      </w:r>
      <w:r w:rsidR="004A2E3F" w:rsidRPr="004A2E3F">
        <w:t xml:space="preserve">has very low morbidity </w:t>
      </w:r>
      <w:r w:rsidR="004A2E3F">
        <w:t>(</w:t>
      </w:r>
      <w:r w:rsidR="004A2E3F" w:rsidRPr="004A2E3F">
        <w:t>anywhere from &lt;1% to 15%</w:t>
      </w:r>
      <w:r w:rsidR="00B778C3">
        <w:t>,</w:t>
      </w:r>
      <w:r w:rsidR="004A2E3F" w:rsidRPr="004A2E3F">
        <w:t xml:space="preserve"> depending on the viral strain); in contrast, the mortality for HPS is up to 40%. </w:t>
      </w:r>
      <w:r w:rsidR="004A2E3F">
        <w:t xml:space="preserve">There is no chronic hantavirus infection. </w:t>
      </w:r>
      <w:r w:rsidR="00BB22C7" w:rsidRPr="00E97596">
        <w:t xml:space="preserve">There are no vaccines to prevent </w:t>
      </w:r>
      <w:r w:rsidR="00C4373F" w:rsidRPr="00E97596">
        <w:t>Hantavirus</w:t>
      </w:r>
      <w:r w:rsidR="00BB22C7" w:rsidRPr="00E97596">
        <w:t xml:space="preserve"> disease</w:t>
      </w:r>
      <w:r w:rsidR="000B3340">
        <w:t>. P</w:t>
      </w:r>
      <w:r w:rsidR="00BB22C7" w:rsidRPr="00E97596">
        <w:t>ersonnel can protect themselves by avoiding rodents</w:t>
      </w:r>
      <w:r w:rsidR="000B3340">
        <w:t xml:space="preserve"> and their droppings</w:t>
      </w:r>
      <w:r w:rsidR="00BB22C7" w:rsidRPr="00E97596">
        <w:t>.</w:t>
      </w:r>
      <w:r w:rsidR="000B3340">
        <w:t xml:space="preserve"> Prevention is by rodent control which consists of s</w:t>
      </w:r>
      <w:r w:rsidR="000B3340" w:rsidRPr="000B3340">
        <w:t>eal</w:t>
      </w:r>
      <w:r w:rsidR="000B3340">
        <w:t>ing</w:t>
      </w:r>
      <w:r w:rsidR="000B3340" w:rsidRPr="000B3340">
        <w:t xml:space="preserve"> up holes and gaps in </w:t>
      </w:r>
      <w:r w:rsidR="000B3340">
        <w:t xml:space="preserve">dwellings, warehouses, and </w:t>
      </w:r>
      <w:r w:rsidR="000B3340" w:rsidRPr="000B3340">
        <w:t>garage</w:t>
      </w:r>
      <w:r w:rsidR="000B3340">
        <w:t>s; p</w:t>
      </w:r>
      <w:r w:rsidR="000B3340" w:rsidRPr="000B3340">
        <w:t>lac</w:t>
      </w:r>
      <w:r w:rsidR="000B3340">
        <w:t xml:space="preserve">ing </w:t>
      </w:r>
      <w:r w:rsidR="000B3340" w:rsidRPr="000B3340">
        <w:t xml:space="preserve">traps </w:t>
      </w:r>
      <w:r w:rsidR="000B3340">
        <w:t>t</w:t>
      </w:r>
      <w:r w:rsidR="000B3340" w:rsidRPr="000B3340">
        <w:t>o decrease rodent infestation</w:t>
      </w:r>
      <w:r w:rsidR="000B3340">
        <w:t>; c</w:t>
      </w:r>
      <w:r w:rsidR="000B3340" w:rsidRPr="000B3340">
        <w:t>lean</w:t>
      </w:r>
      <w:r w:rsidR="000B3340">
        <w:t>ing</w:t>
      </w:r>
      <w:r w:rsidR="000B3340" w:rsidRPr="000B3340">
        <w:t xml:space="preserve"> up any easy-to-get food</w:t>
      </w:r>
      <w:r w:rsidR="00B778C3">
        <w:t>,</w:t>
      </w:r>
      <w:r w:rsidR="000B3340">
        <w:t xml:space="preserve"> and properly storing food</w:t>
      </w:r>
      <w:r w:rsidR="0050412F">
        <w:t xml:space="preserve">. Cleanups should be </w:t>
      </w:r>
      <w:r w:rsidR="0050412F">
        <w:lastRenderedPageBreak/>
        <w:t xml:space="preserve">done wearing PPE (N95 respirator and protective clothing), </w:t>
      </w:r>
      <w:r w:rsidR="000B3340">
        <w:t xml:space="preserve">wet mopping </w:t>
      </w:r>
      <w:r w:rsidR="0050412F">
        <w:t xml:space="preserve">with disposable mops (i.e., not </w:t>
      </w:r>
      <w:r w:rsidR="000B3340">
        <w:t>dry brooming droppings</w:t>
      </w:r>
      <w:r w:rsidR="0050412F">
        <w:t>), dispos</w:t>
      </w:r>
      <w:r w:rsidR="00B778C3">
        <w:t>ing</w:t>
      </w:r>
      <w:r w:rsidR="0050412F">
        <w:t xml:space="preserve"> of contaminated material in plastic bags that are sealed, and thoroughly washing hands with soap and water after removing the gloves.</w:t>
      </w:r>
    </w:p>
    <w:p w14:paraId="27877DBF" w14:textId="77777777" w:rsidR="00BB22C7" w:rsidRPr="002F2E05" w:rsidRDefault="00BB22C7" w:rsidP="002F0040"/>
    <w:p w14:paraId="3918AF02" w14:textId="62ACB10E" w:rsidR="006A0776" w:rsidRPr="002F2E05" w:rsidRDefault="00554EF2" w:rsidP="00FD4769">
      <w:pPr>
        <w:pStyle w:val="Heading3"/>
      </w:pPr>
      <w:r w:rsidRPr="001575BC">
        <w:rPr>
          <w:highlight w:val="yellow"/>
        </w:rPr>
        <w:t>Measles</w:t>
      </w:r>
      <w:r w:rsidR="006A0776" w:rsidRPr="002F2E05">
        <w:t xml:space="preserve"> </w:t>
      </w:r>
    </w:p>
    <w:p w14:paraId="02FEC0EA" w14:textId="77777777" w:rsidR="00EA575F" w:rsidRPr="002F2E05" w:rsidRDefault="00EA575F" w:rsidP="003E36C9"/>
    <w:p w14:paraId="7652E73A" w14:textId="5383B044" w:rsidR="006A0776" w:rsidRDefault="0050412F" w:rsidP="0050412F">
      <w:r>
        <w:t xml:space="preserve">Measles is a </w:t>
      </w:r>
      <w:r w:rsidRPr="0050412F">
        <w:t xml:space="preserve">member of the genus </w:t>
      </w:r>
      <w:r w:rsidRPr="00BE728E">
        <w:rPr>
          <w:i/>
          <w:iCs/>
        </w:rPr>
        <w:t>Morbillivirus</w:t>
      </w:r>
      <w:r w:rsidRPr="0050412F">
        <w:t xml:space="preserve"> in the </w:t>
      </w:r>
      <w:proofErr w:type="spellStart"/>
      <w:r w:rsidRPr="00BE728E">
        <w:rPr>
          <w:i/>
          <w:iCs/>
        </w:rPr>
        <w:t>Paramyxoviridae</w:t>
      </w:r>
      <w:proofErr w:type="spellEnd"/>
      <w:r w:rsidRPr="0050412F">
        <w:t xml:space="preserve"> family. Humans are the only natural hosts of measles virus. </w:t>
      </w:r>
      <w:r w:rsidR="00B5316C">
        <w:t>M</w:t>
      </w:r>
      <w:r w:rsidR="00B5316C" w:rsidRPr="00B5316C">
        <w:t xml:space="preserve">easles is one of the most contagious of all infectious diseases; up to 9 out of 10 susceptible persons with close contact to a measles patient will develop measles. The virus is transmitted by direct contact with infectious droplets or by airborne spread </w:t>
      </w:r>
      <w:r w:rsidR="00B5316C">
        <w:t xml:space="preserve">of droplet nuclei </w:t>
      </w:r>
      <w:r w:rsidR="00B5316C" w:rsidRPr="00B5316C">
        <w:t xml:space="preserve">when an infected person breathes, coughs, or sneezes. Measles virus can remain infectious in the air for up to </w:t>
      </w:r>
      <w:r w:rsidR="00FB5CCB">
        <w:t>2</w:t>
      </w:r>
      <w:r w:rsidR="00FB5CCB" w:rsidRPr="00B5316C">
        <w:t xml:space="preserve"> </w:t>
      </w:r>
      <w:r w:rsidR="00B5316C" w:rsidRPr="00B5316C">
        <w:t>hours after an infected person leaves an area</w:t>
      </w:r>
      <w:r w:rsidR="00554EF2" w:rsidRPr="00E97596">
        <w:t>. Infected people are usually contagious from 4 days before until 4 days after rash onset. Symptoms include prodromal fever that can rise as high as 105°F, conjunctivitis, coryza (runny nose), cough, and small spots with white or bluish-white centers on an erythematous base on the buccal mucosa (</w:t>
      </w:r>
      <w:proofErr w:type="spellStart"/>
      <w:r w:rsidR="00554EF2" w:rsidRPr="00E97596">
        <w:t>Koplik</w:t>
      </w:r>
      <w:proofErr w:type="spellEnd"/>
      <w:r w:rsidR="00554EF2" w:rsidRPr="00E97596">
        <w:t xml:space="preserve"> spots). </w:t>
      </w:r>
      <w:r>
        <w:t>Common complications include otitis media, bronchopneumonia, laryngotracheobronchitis, and diarrhea. Rarely</w:t>
      </w:r>
      <w:r w:rsidR="00FB5CCB">
        <w:t>,</w:t>
      </w:r>
      <w:r>
        <w:t xml:space="preserve"> acute encephalitis (resulting in permanent brain damage), and respiratory and neurologic complications may ensue. A rare but fatal </w:t>
      </w:r>
      <w:r w:rsidR="0022547E">
        <w:t>central nervous system</w:t>
      </w:r>
      <w:r>
        <w:t xml:space="preserve"> degenerative disease known as SSPE (Subacute sclerosing panencephalitis) may occur that is characterized by behavioral and intellectual deterioration and seizures</w:t>
      </w:r>
      <w:r w:rsidR="00FB5CCB">
        <w:t>;</w:t>
      </w:r>
      <w:r>
        <w:t xml:space="preserve"> </w:t>
      </w:r>
      <w:r w:rsidR="00FB5CCB">
        <w:t xml:space="preserve">this disease </w:t>
      </w:r>
      <w:r>
        <w:t>develop</w:t>
      </w:r>
      <w:r w:rsidR="00FB5CCB">
        <w:t>s</w:t>
      </w:r>
      <w:r>
        <w:t xml:space="preserve"> 7</w:t>
      </w:r>
      <w:r w:rsidR="00FB5CCB">
        <w:rPr>
          <w:rFonts w:cs="Arial"/>
        </w:rPr>
        <w:t>–</w:t>
      </w:r>
      <w:r>
        <w:t>10 years after measles infection.</w:t>
      </w:r>
      <w:r w:rsidRPr="00E97596">
        <w:t xml:space="preserve"> </w:t>
      </w:r>
      <w:r w:rsidR="00554EF2" w:rsidRPr="00E97596">
        <w:t>A</w:t>
      </w:r>
      <w:r>
        <w:t>n effective</w:t>
      </w:r>
      <w:r w:rsidR="00554EF2" w:rsidRPr="00E97596">
        <w:t xml:space="preserve"> vaccine is available </w:t>
      </w:r>
      <w:r w:rsidR="00706425" w:rsidRPr="00E97596">
        <w:t>to prevent</w:t>
      </w:r>
      <w:r w:rsidR="00554EF2" w:rsidRPr="00E97596">
        <w:t xml:space="preserve"> measles.</w:t>
      </w:r>
      <w:r>
        <w:t xml:space="preserve"> </w:t>
      </w:r>
      <w:r w:rsidR="00B5316C" w:rsidRPr="00B5316C">
        <w:t>People exposed to measles who cannot readily show that they have evidence of immunity against measles should be offered post-exposure prophylaxis (PEP)</w:t>
      </w:r>
      <w:r w:rsidR="00FB5CCB">
        <w:t>,</w:t>
      </w:r>
      <w:r w:rsidR="00B5316C">
        <w:t xml:space="preserve"> with </w:t>
      </w:r>
      <w:r w:rsidR="00B5316C" w:rsidRPr="00B5316C">
        <w:t xml:space="preserve">either MMR vaccine within 72 hours of initial measles exposure or immunoglobulin (IG) within </w:t>
      </w:r>
      <w:r w:rsidR="00FB5CCB">
        <w:t>6</w:t>
      </w:r>
      <w:r w:rsidR="00FB5CCB" w:rsidRPr="00B5316C">
        <w:t xml:space="preserve"> </w:t>
      </w:r>
      <w:r w:rsidR="00B5316C" w:rsidRPr="00B5316C">
        <w:t xml:space="preserve">days of exposure. </w:t>
      </w:r>
      <w:r w:rsidR="0022547E">
        <w:t>The</w:t>
      </w:r>
      <w:r w:rsidR="00B5316C" w:rsidRPr="00B5316C">
        <w:t xml:space="preserve"> MMR vaccine and IG </w:t>
      </w:r>
      <w:r w:rsidR="0022547E">
        <w:t xml:space="preserve">should not be administered </w:t>
      </w:r>
      <w:r w:rsidR="00B5316C" w:rsidRPr="00B5316C">
        <w:t>simultaneously, as this practice invalidates the vaccine</w:t>
      </w:r>
      <w:r w:rsidR="00B5316C">
        <w:t>. There is no specific antiviral therapy for measles</w:t>
      </w:r>
      <w:r w:rsidR="00FB5CCB">
        <w:t>,</w:t>
      </w:r>
      <w:r w:rsidR="00B5316C">
        <w:t xml:space="preserve"> only supportive care. Secondary bacterial infections may arise. </w:t>
      </w:r>
      <w:r w:rsidR="00B5316C" w:rsidRPr="00B5316C">
        <w:t xml:space="preserve">Infected people should be isolated for </w:t>
      </w:r>
      <w:r w:rsidR="00FB5CCB">
        <w:t>4</w:t>
      </w:r>
      <w:r w:rsidR="00FB5CCB" w:rsidRPr="00B5316C">
        <w:t xml:space="preserve"> </w:t>
      </w:r>
      <w:r w:rsidR="00B5316C" w:rsidRPr="00B5316C">
        <w:t xml:space="preserve">days after they develop a rash; airborne precautions should be followed in healthcare settings. </w:t>
      </w:r>
    </w:p>
    <w:p w14:paraId="662BBDC6" w14:textId="394F11F5" w:rsidR="00807C50" w:rsidRDefault="00807C50" w:rsidP="002F0040"/>
    <w:p w14:paraId="52870F2E" w14:textId="58EDC877" w:rsidR="00807C50" w:rsidRPr="002758CC" w:rsidRDefault="00807C50" w:rsidP="00FD4769">
      <w:pPr>
        <w:pStyle w:val="Heading3"/>
      </w:pPr>
      <w:r w:rsidRPr="002758CC">
        <w:rPr>
          <w:highlight w:val="yellow"/>
        </w:rPr>
        <w:t>Meningococcal meningitis</w:t>
      </w:r>
      <w:r w:rsidRPr="002758CC">
        <w:t xml:space="preserve"> </w:t>
      </w:r>
    </w:p>
    <w:p w14:paraId="225E4C4D" w14:textId="77777777" w:rsidR="00807C50" w:rsidRPr="00807C50" w:rsidRDefault="00807C50" w:rsidP="002F0040">
      <w:pPr>
        <w:rPr>
          <w:highlight w:val="yellow"/>
        </w:rPr>
      </w:pPr>
    </w:p>
    <w:p w14:paraId="2970B36E" w14:textId="5BCBE3DD" w:rsidR="00807C50" w:rsidRPr="00706425" w:rsidRDefault="000B52EF" w:rsidP="000B52EF">
      <w:pPr>
        <w:rPr>
          <w:color w:val="000000"/>
        </w:rPr>
      </w:pPr>
      <w:r w:rsidRPr="000B52EF">
        <w:t>The bacteriu</w:t>
      </w:r>
      <w:r w:rsidRPr="004D5E31">
        <w:t>m</w:t>
      </w:r>
      <w:r w:rsidRPr="004D5E31">
        <w:rPr>
          <w:i/>
          <w:iCs/>
        </w:rPr>
        <w:t xml:space="preserve"> Neisseria meningitidis</w:t>
      </w:r>
      <w:r>
        <w:t xml:space="preserve"> causes Meningococcal Meningitis. </w:t>
      </w:r>
      <w:r w:rsidR="00B5316C" w:rsidRPr="00B5316C">
        <w:t xml:space="preserve">There are multiple serogroups of </w:t>
      </w:r>
      <w:r w:rsidR="00B5316C" w:rsidRPr="004D5E31">
        <w:rPr>
          <w:i/>
          <w:iCs/>
        </w:rPr>
        <w:t>Neisseria meningitidis</w:t>
      </w:r>
      <w:r w:rsidR="00B5316C" w:rsidRPr="00B5316C">
        <w:t xml:space="preserve">. </w:t>
      </w:r>
      <w:r>
        <w:t>I</w:t>
      </w:r>
      <w:r w:rsidRPr="000B52EF">
        <w:t>n children and teens, meningococcus is the most common cause of bacterial meningitis</w:t>
      </w:r>
      <w:r w:rsidR="00FB5CCB">
        <w:t>,</w:t>
      </w:r>
      <w:r>
        <w:t xml:space="preserve"> while in </w:t>
      </w:r>
      <w:r w:rsidRPr="000B52EF">
        <w:t>adults</w:t>
      </w:r>
      <w:r w:rsidR="004D5E31">
        <w:t>,</w:t>
      </w:r>
      <w:r w:rsidRPr="000B52EF">
        <w:t xml:space="preserve"> it is the second most common cause. </w:t>
      </w:r>
      <w:r w:rsidR="00097FA1">
        <w:t>T</w:t>
      </w:r>
      <w:r w:rsidR="00807C50" w:rsidRPr="001575BC">
        <w:t>he disease is transmitted from person</w:t>
      </w:r>
      <w:r w:rsidR="0031798F">
        <w:t>-</w:t>
      </w:r>
      <w:r w:rsidR="00807C50" w:rsidRPr="001575BC">
        <w:t>to</w:t>
      </w:r>
      <w:r w:rsidR="0031798F">
        <w:t>-</w:t>
      </w:r>
      <w:r w:rsidR="00807C50" w:rsidRPr="001575BC">
        <w:t xml:space="preserve">person through droplets of respiratory or throat secretions. Close and prolonged contact facilitates the spread of this disease. </w:t>
      </w:r>
      <w:r>
        <w:t xml:space="preserve">Humans are the only host. Common symptoms and signs include sudden high fever; severe, persistent headache; neck stiffness; nausea or vomiting; photophobia; </w:t>
      </w:r>
      <w:r w:rsidR="00D61CA8">
        <w:t>altered mental status;</w:t>
      </w:r>
      <w:r>
        <w:t xml:space="preserve"> joint pain; rash (reddish or </w:t>
      </w:r>
      <w:r w:rsidR="00D61CA8">
        <w:t xml:space="preserve">dark </w:t>
      </w:r>
      <w:r>
        <w:t>purple skin rash known as petechiae)</w:t>
      </w:r>
      <w:r w:rsidR="00D61CA8">
        <w:t xml:space="preserve"> and septicemia</w:t>
      </w:r>
      <w:r>
        <w:t>. As many as 10</w:t>
      </w:r>
      <w:r w:rsidR="00436D54">
        <w:rPr>
          <w:rFonts w:cs="Arial"/>
        </w:rPr>
        <w:t>–</w:t>
      </w:r>
      <w:r>
        <w:t>15% of people with meningococcal disease will die</w:t>
      </w:r>
      <w:r w:rsidR="00436D54">
        <w:t>,</w:t>
      </w:r>
      <w:r>
        <w:t xml:space="preserve"> and about 1 in 5 who survive are left with long-term disabilities such as loss of limb(s), deafness, nervous system problems, and brain damage (i.e., </w:t>
      </w:r>
      <w:r w:rsidR="00807C50" w:rsidRPr="001575BC">
        <w:rPr>
          <w:iCs/>
        </w:rPr>
        <w:t>Meningococcal meningitis</w:t>
      </w:r>
      <w:r>
        <w:rPr>
          <w:iCs/>
        </w:rPr>
        <w:t>)</w:t>
      </w:r>
      <w:r w:rsidR="00807C50" w:rsidRPr="001575BC">
        <w:rPr>
          <w:bCs/>
        </w:rPr>
        <w:t>.</w:t>
      </w:r>
      <w:r w:rsidR="00097FA1">
        <w:rPr>
          <w:bCs/>
        </w:rPr>
        <w:t xml:space="preserve"> </w:t>
      </w:r>
      <w:r w:rsidR="3E4E4BE4">
        <w:t>Several</w:t>
      </w:r>
      <w:r w:rsidR="00D61CA8">
        <w:rPr>
          <w:bCs/>
        </w:rPr>
        <w:t xml:space="preserve"> vaccines </w:t>
      </w:r>
      <w:r w:rsidR="00D61CA8">
        <w:t xml:space="preserve">are </w:t>
      </w:r>
      <w:r w:rsidR="00097FA1" w:rsidRPr="00E97596">
        <w:t xml:space="preserve">available to prevent </w:t>
      </w:r>
      <w:r w:rsidR="00097FA1">
        <w:t>meningococcal meningitis</w:t>
      </w:r>
      <w:r w:rsidR="00097FA1" w:rsidRPr="00E97596">
        <w:t>.</w:t>
      </w:r>
      <w:r w:rsidR="00D61CA8">
        <w:t xml:space="preserve"> Antibiotics may include </w:t>
      </w:r>
      <w:r w:rsidR="00D61CA8" w:rsidRPr="00D61CA8">
        <w:t>cephalosporin</w:t>
      </w:r>
      <w:r w:rsidR="00D61CA8">
        <w:t xml:space="preserve">s or </w:t>
      </w:r>
      <w:proofErr w:type="spellStart"/>
      <w:r w:rsidR="00D61CA8">
        <w:t>penicillins</w:t>
      </w:r>
      <w:proofErr w:type="spellEnd"/>
      <w:r w:rsidR="00D61CA8">
        <w:t>.</w:t>
      </w:r>
    </w:p>
    <w:p w14:paraId="499FE782" w14:textId="77777777" w:rsidR="00554EF2" w:rsidRDefault="00554EF2" w:rsidP="002F0040"/>
    <w:p w14:paraId="64733A54" w14:textId="77777777" w:rsidR="00FB5CCB" w:rsidRDefault="00FB5CCB" w:rsidP="002F0040"/>
    <w:p w14:paraId="73D2B0ED" w14:textId="77777777" w:rsidR="00FB5CCB" w:rsidRPr="00F83550" w:rsidRDefault="00FB5CCB" w:rsidP="002F0040"/>
    <w:p w14:paraId="6EC92237" w14:textId="18DD79E9" w:rsidR="00AA1977" w:rsidRPr="00F83550" w:rsidRDefault="00AA1977" w:rsidP="00580B36">
      <w:pPr>
        <w:pStyle w:val="Heading2"/>
      </w:pPr>
      <w:r w:rsidRPr="00F83550">
        <w:lastRenderedPageBreak/>
        <w:t>Animal-Contact Diseases</w:t>
      </w:r>
    </w:p>
    <w:p w14:paraId="5DBB1A6F" w14:textId="77777777" w:rsidR="006A0776" w:rsidRPr="00F83550" w:rsidRDefault="006A0776" w:rsidP="002F0040"/>
    <w:p w14:paraId="6DF200E5" w14:textId="5768A32B" w:rsidR="006A0776" w:rsidRPr="002F2E05" w:rsidRDefault="006A0776" w:rsidP="00FD4769">
      <w:pPr>
        <w:pStyle w:val="Heading3"/>
      </w:pPr>
      <w:r w:rsidRPr="001575BC">
        <w:rPr>
          <w:highlight w:val="yellow"/>
        </w:rPr>
        <w:t>Rabies</w:t>
      </w:r>
      <w:r w:rsidRPr="002F2E05">
        <w:t xml:space="preserve"> </w:t>
      </w:r>
    </w:p>
    <w:p w14:paraId="78193298" w14:textId="77777777" w:rsidR="006A0776" w:rsidRPr="002F2E05" w:rsidRDefault="006A0776" w:rsidP="002F0040"/>
    <w:p w14:paraId="79B6F683" w14:textId="58924B88" w:rsidR="006A0776" w:rsidRPr="00E97596" w:rsidRDefault="00D61CA8" w:rsidP="002F0040">
      <w:r>
        <w:t xml:space="preserve">Rabies virus is a </w:t>
      </w:r>
      <w:r w:rsidRPr="004D5E31">
        <w:rPr>
          <w:i/>
          <w:iCs/>
        </w:rPr>
        <w:t>Lyssavirus</w:t>
      </w:r>
      <w:r>
        <w:t xml:space="preserve">. </w:t>
      </w:r>
      <w:r w:rsidR="006A0776" w:rsidRPr="00E97596">
        <w:t>Rabies is transmitted by exposure to the virus-laden saliva of an infected animal</w:t>
      </w:r>
      <w:r w:rsidR="007206B1">
        <w:t xml:space="preserve"> (e.g., dog, cat, or wildlife)</w:t>
      </w:r>
      <w:r w:rsidR="006A0776" w:rsidRPr="00E97596">
        <w:t>, typically through bites, but could occur from scratches contaminated with the saliva</w:t>
      </w:r>
      <w:r w:rsidR="002C6D14" w:rsidRPr="00E97596">
        <w:t xml:space="preserve">. </w:t>
      </w:r>
      <w:r w:rsidR="002E2747">
        <w:t>There are f</w:t>
      </w:r>
      <w:r w:rsidR="002E2747" w:rsidRPr="002E2747">
        <w:t>ive general stages recognized in humans: incubation, prodrome</w:t>
      </w:r>
      <w:r w:rsidR="00CC1E23">
        <w:t xml:space="preserve"> (early symptoms)</w:t>
      </w:r>
      <w:r w:rsidR="002E2747" w:rsidRPr="002E2747">
        <w:t xml:space="preserve">, acute neurologic period, coma, and death. The incubation period is exceptionally variable, ranging from fewer than 10 days to longer than 2 years, but is usually 1–3 months. </w:t>
      </w:r>
      <w:r w:rsidR="00C03000" w:rsidRPr="00E97596">
        <w:t>Rabies affects the central nervous system</w:t>
      </w:r>
      <w:r w:rsidR="002E2747">
        <w:t xml:space="preserve"> and is therefore called a neurotropic virus</w:t>
      </w:r>
      <w:r w:rsidR="00C03000" w:rsidRPr="00E97596">
        <w:t>. Symptoms include weakness or discomfort, fever, and headache. As time progress</w:t>
      </w:r>
      <w:r w:rsidR="004D5E31">
        <w:t>es</w:t>
      </w:r>
      <w:r w:rsidR="00C63329">
        <w:t>,</w:t>
      </w:r>
      <w:r w:rsidR="00C03000" w:rsidRPr="00E97596">
        <w:t xml:space="preserve"> an infected person may become delirious, </w:t>
      </w:r>
      <w:r w:rsidR="00C63329" w:rsidRPr="00E97596">
        <w:t>hallucin</w:t>
      </w:r>
      <w:r w:rsidR="00C63329">
        <w:t>ogenic</w:t>
      </w:r>
      <w:r w:rsidR="004D5E31">
        <w:t>,</w:t>
      </w:r>
      <w:r w:rsidR="00C03000" w:rsidRPr="00E97596">
        <w:t xml:space="preserve"> and unable to swallow. </w:t>
      </w:r>
      <w:r w:rsidR="002E2747" w:rsidRPr="002E2747">
        <w:t>Without appropriate medical care, rabies causes brain disease and death.</w:t>
      </w:r>
      <w:r w:rsidR="002E2747">
        <w:t xml:space="preserve"> An effective </w:t>
      </w:r>
      <w:r w:rsidR="00C03000" w:rsidRPr="00E97596">
        <w:t>vaccine is available in the U.S. to prevent rabies</w:t>
      </w:r>
      <w:r w:rsidR="002E2747">
        <w:t xml:space="preserve">. It is </w:t>
      </w:r>
      <w:r>
        <w:t>used for both pre-exposure and/or post-exposure pr</w:t>
      </w:r>
      <w:r w:rsidR="002E2747">
        <w:t>ophylaxis</w:t>
      </w:r>
      <w:r w:rsidR="00C03000" w:rsidRPr="00E97596">
        <w:t>.</w:t>
      </w:r>
      <w:r>
        <w:t xml:space="preserve"> </w:t>
      </w:r>
      <w:r w:rsidR="00CC1E23">
        <w:t>However, o</w:t>
      </w:r>
      <w:r>
        <w:t>nce symptoms develop</w:t>
      </w:r>
      <w:r w:rsidR="00C63329">
        <w:t>,</w:t>
      </w:r>
      <w:r>
        <w:t xml:space="preserve"> there is no cure</w:t>
      </w:r>
      <w:r w:rsidR="00CC1E23">
        <w:t xml:space="preserve"> as </w:t>
      </w:r>
      <w:r>
        <w:t xml:space="preserve">there is no antiviral rabies treatment. </w:t>
      </w:r>
      <w:r w:rsidR="002E2747">
        <w:t>Control of this zoonotic disease is by v</w:t>
      </w:r>
      <w:r w:rsidR="002E2747" w:rsidRPr="002E2747">
        <w:t>accination of susceptible animal species</w:t>
      </w:r>
      <w:r w:rsidR="002E2747">
        <w:t xml:space="preserve"> (</w:t>
      </w:r>
      <w:r w:rsidR="002E2747" w:rsidRPr="002E2747">
        <w:t>particularly dogs and cats</w:t>
      </w:r>
      <w:r w:rsidR="002E2747">
        <w:t>)</w:t>
      </w:r>
      <w:r w:rsidR="00AA2C9C">
        <w:t>,</w:t>
      </w:r>
      <w:r w:rsidR="002E2747">
        <w:t xml:space="preserve"> vaccination of personnel who are at high risk</w:t>
      </w:r>
      <w:r w:rsidR="00AA2C9C">
        <w:t>,</w:t>
      </w:r>
      <w:r w:rsidR="002E2747">
        <w:t xml:space="preserve"> and avoidance of stray and wild animals. P</w:t>
      </w:r>
      <w:r w:rsidR="002E2747" w:rsidRPr="002E2747">
        <w:t>ost</w:t>
      </w:r>
      <w:r w:rsidR="002E2747">
        <w:t>-</w:t>
      </w:r>
      <w:r w:rsidR="002E2747" w:rsidRPr="002E2747">
        <w:t xml:space="preserve">exposure prophylaxis </w:t>
      </w:r>
      <w:r w:rsidR="002E2747">
        <w:t xml:space="preserve">is essential and </w:t>
      </w:r>
      <w:r w:rsidR="002E2747" w:rsidRPr="002E2747">
        <w:t>consists of the combination of local wound cleansing, human rabies immune globulin (HRIG)</w:t>
      </w:r>
      <w:r w:rsidR="00C63329">
        <w:t>,</w:t>
      </w:r>
      <w:r w:rsidR="002E2747" w:rsidRPr="002E2747">
        <w:t xml:space="preserve"> and rabies vaccine.</w:t>
      </w:r>
      <w:r w:rsidR="002E2747">
        <w:t xml:space="preserve"> </w:t>
      </w:r>
    </w:p>
    <w:p w14:paraId="7B1C052F" w14:textId="77777777" w:rsidR="006A0776" w:rsidRPr="00E97596" w:rsidRDefault="006A0776" w:rsidP="002F0040"/>
    <w:p w14:paraId="7CFFD72E" w14:textId="1E13959A" w:rsidR="006A0776" w:rsidRPr="00E97596" w:rsidRDefault="006A0776" w:rsidP="00FD4769">
      <w:pPr>
        <w:pStyle w:val="Heading3"/>
      </w:pPr>
      <w:r w:rsidRPr="001575BC">
        <w:rPr>
          <w:highlight w:val="yellow"/>
        </w:rPr>
        <w:t>Q-Fever</w:t>
      </w:r>
    </w:p>
    <w:p w14:paraId="7DEEEA55" w14:textId="77777777" w:rsidR="006A0776" w:rsidRPr="00E97596" w:rsidRDefault="006A0776" w:rsidP="002F0040"/>
    <w:p w14:paraId="150B9113" w14:textId="3952BDB4" w:rsidR="003D2B54" w:rsidRDefault="003D2B54" w:rsidP="00BC63F8">
      <w:r w:rsidRPr="00E97596">
        <w:t>Q-fever is caused by infection with the bacteri</w:t>
      </w:r>
      <w:r w:rsidR="00AA2C9C">
        <w:t>um</w:t>
      </w:r>
      <w:r w:rsidRPr="00E97596">
        <w:t xml:space="preserve"> </w:t>
      </w:r>
      <w:r w:rsidRPr="00E0746C">
        <w:rPr>
          <w:i/>
        </w:rPr>
        <w:t xml:space="preserve">Coxiella </w:t>
      </w:r>
      <w:proofErr w:type="spellStart"/>
      <w:r w:rsidR="002E2747">
        <w:rPr>
          <w:i/>
        </w:rPr>
        <w:t>burnetii</w:t>
      </w:r>
      <w:proofErr w:type="spellEnd"/>
      <w:r w:rsidR="002E2747">
        <w:rPr>
          <w:i/>
        </w:rPr>
        <w:t xml:space="preserve">. </w:t>
      </w:r>
      <w:r w:rsidRPr="00E97596">
        <w:t xml:space="preserve">Cattle, sheep, and goats can be </w:t>
      </w:r>
      <w:r w:rsidR="004212C1" w:rsidRPr="00E97596">
        <w:t>infected</w:t>
      </w:r>
      <w:r w:rsidR="00CC1E23">
        <w:t>, and t</w:t>
      </w:r>
      <w:r w:rsidR="00BC63F8">
        <w:t xml:space="preserve">he bacteria </w:t>
      </w:r>
      <w:r w:rsidR="00BC63F8" w:rsidRPr="00BC63F8">
        <w:t xml:space="preserve">are excreted in milk, urine, and feces of infected animals </w:t>
      </w:r>
      <w:r w:rsidR="00BC63F8">
        <w:t xml:space="preserve">and during birthing. </w:t>
      </w:r>
      <w:r w:rsidR="00BC63F8" w:rsidRPr="00BC63F8">
        <w:t>The organism is extremely hardy and resistant to heat, drying, and many common disinfectants</w:t>
      </w:r>
      <w:r w:rsidR="00CC1E23">
        <w:t>, and</w:t>
      </w:r>
      <w:r w:rsidR="00BC63F8" w:rsidRPr="00BC63F8">
        <w:t xml:space="preserve"> </w:t>
      </w:r>
      <w:r w:rsidR="008E47C0">
        <w:t xml:space="preserve">it </w:t>
      </w:r>
      <w:r w:rsidR="768C9AB1">
        <w:t>can</w:t>
      </w:r>
      <w:r w:rsidR="00BC63F8" w:rsidRPr="00BC63F8">
        <w:t xml:space="preserve"> survive for long periods in the environment. Exposure usually occurs by inhalation of these organisms from air that is contaminated by excreta of infected animals. </w:t>
      </w:r>
      <w:r w:rsidR="00BC63F8">
        <w:t>Rarely, o</w:t>
      </w:r>
      <w:r w:rsidR="00BC63F8" w:rsidRPr="00BC63F8">
        <w:t>ther modes of transmission</w:t>
      </w:r>
      <w:r w:rsidR="00BC63F8">
        <w:t xml:space="preserve"> may be involved in</w:t>
      </w:r>
      <w:r w:rsidR="00BC63F8" w:rsidRPr="00BC63F8">
        <w:t>cluding tick bites, ingestion of unpasteurized milk or dairy products, and person-to-person transmission</w:t>
      </w:r>
      <w:r w:rsidR="00BC63F8">
        <w:t xml:space="preserve">. </w:t>
      </w:r>
      <w:r w:rsidR="00BC63F8" w:rsidRPr="00BC63F8">
        <w:t>People are very susceptible to the disease and very few organisms may be required to cause infection.</w:t>
      </w:r>
      <w:r w:rsidR="00BC63F8">
        <w:t xml:space="preserve"> </w:t>
      </w:r>
      <w:r w:rsidRPr="00E97596">
        <w:t xml:space="preserve">About half of people infected with Q-fever will develop symptoms. </w:t>
      </w:r>
      <w:r w:rsidR="00BC63F8">
        <w:t>Acute s</w:t>
      </w:r>
      <w:r w:rsidRPr="00E97596">
        <w:t>ymptoms develop 2</w:t>
      </w:r>
      <w:r w:rsidR="008E47C0">
        <w:rPr>
          <w:rFonts w:cs="Arial"/>
        </w:rPr>
        <w:t>–</w:t>
      </w:r>
      <w:r w:rsidRPr="00E97596">
        <w:t xml:space="preserve">3 weeks after exposure and </w:t>
      </w:r>
      <w:r w:rsidR="00BC63F8">
        <w:t xml:space="preserve">may </w:t>
      </w:r>
      <w:r w:rsidRPr="00E97596">
        <w:t xml:space="preserve">include </w:t>
      </w:r>
      <w:r w:rsidR="00BC63F8">
        <w:t xml:space="preserve">high </w:t>
      </w:r>
      <w:r w:rsidRPr="00E97596">
        <w:t xml:space="preserve">fever, fatigue, </w:t>
      </w:r>
      <w:r w:rsidR="00BC63F8">
        <w:t xml:space="preserve">severe </w:t>
      </w:r>
      <w:r w:rsidRPr="00E97596">
        <w:t xml:space="preserve">headache, chest pain, vomiting, </w:t>
      </w:r>
      <w:r w:rsidR="00BC63F8">
        <w:t xml:space="preserve">diarrhea, abdominal pain, </w:t>
      </w:r>
      <w:r w:rsidRPr="00E97596">
        <w:t>weight loss</w:t>
      </w:r>
      <w:r w:rsidR="008E47C0">
        <w:t>,</w:t>
      </w:r>
      <w:r w:rsidRPr="00E97596">
        <w:t xml:space="preserve"> and </w:t>
      </w:r>
      <w:r w:rsidR="00BC63F8">
        <w:t xml:space="preserve">non-productive </w:t>
      </w:r>
      <w:r w:rsidRPr="00E97596">
        <w:t xml:space="preserve">cough. </w:t>
      </w:r>
      <w:r w:rsidR="00BC63F8" w:rsidRPr="00BC63F8">
        <w:t>Chronic Q</w:t>
      </w:r>
      <w:r w:rsidR="008E47C0">
        <w:t>-</w:t>
      </w:r>
      <w:r w:rsidR="00BC63F8" w:rsidRPr="00BC63F8">
        <w:t>fever occurs in &lt;5% of acutely infected patients</w:t>
      </w:r>
      <w:r w:rsidR="00CC1E23">
        <w:t>, and i</w:t>
      </w:r>
      <w:r w:rsidR="00BC63F8" w:rsidRPr="00BC63F8">
        <w:t>t may present within weeks after an acute infection or may manifest many years later. Endocarditis is the most identified manifestation of chronic Q</w:t>
      </w:r>
      <w:r w:rsidR="008E47C0">
        <w:t>-</w:t>
      </w:r>
      <w:r w:rsidR="00BC63F8" w:rsidRPr="00BC63F8">
        <w:t>fever and is fatal if untreated.</w:t>
      </w:r>
      <w:r w:rsidR="00BC63F8">
        <w:t xml:space="preserve"> </w:t>
      </w:r>
      <w:r w:rsidRPr="00E97596">
        <w:t xml:space="preserve">Treatment can include doxycycline antibiotics. Vaccines for Q-fever are not available in the </w:t>
      </w:r>
      <w:r w:rsidR="004212C1" w:rsidRPr="00E97596">
        <w:t>U.S.,</w:t>
      </w:r>
      <w:r w:rsidRPr="00E97596">
        <w:t xml:space="preserve"> but risk of infection can be reduced by avoiding contact with animal</w:t>
      </w:r>
      <w:r w:rsidR="00AA2C9C">
        <w:t>s</w:t>
      </w:r>
      <w:r w:rsidR="00BC63F8">
        <w:t>,</w:t>
      </w:r>
      <w:r w:rsidRPr="00E97596">
        <w:t xml:space="preserve"> avoiding consumption of raw milk</w:t>
      </w:r>
      <w:r w:rsidR="00AA2C9C">
        <w:t>,</w:t>
      </w:r>
      <w:r w:rsidR="00BC63F8">
        <w:t xml:space="preserve"> and avoiding exposure to contaminated environments</w:t>
      </w:r>
      <w:r w:rsidRPr="00E97596">
        <w:t>.</w:t>
      </w:r>
      <w:r w:rsidR="00BC63F8" w:rsidRPr="00BC63F8">
        <w:t xml:space="preserve"> </w:t>
      </w:r>
      <w:r w:rsidR="00996E6F" w:rsidRPr="00996E6F">
        <w:t xml:space="preserve">Animals can be infected with </w:t>
      </w:r>
      <w:r w:rsidR="00996E6F" w:rsidRPr="00AA2C9C">
        <w:rPr>
          <w:i/>
          <w:iCs/>
        </w:rPr>
        <w:t xml:space="preserve">Coxiella </w:t>
      </w:r>
      <w:proofErr w:type="spellStart"/>
      <w:r w:rsidR="00996E6F" w:rsidRPr="00AA2C9C">
        <w:rPr>
          <w:i/>
          <w:iCs/>
        </w:rPr>
        <w:t>burnetii</w:t>
      </w:r>
      <w:proofErr w:type="spellEnd"/>
      <w:r w:rsidR="00996E6F" w:rsidRPr="00996E6F">
        <w:t xml:space="preserve"> and appear healthy.</w:t>
      </w:r>
    </w:p>
    <w:p w14:paraId="6DBFDFAF" w14:textId="77777777" w:rsidR="00097FA1" w:rsidRDefault="00097FA1" w:rsidP="002F0040"/>
    <w:p w14:paraId="5C7E7E22" w14:textId="7C6DF034" w:rsidR="00807C50" w:rsidRPr="002758CC" w:rsidRDefault="00807C50" w:rsidP="00FD4769">
      <w:pPr>
        <w:pStyle w:val="Heading3"/>
      </w:pPr>
      <w:r w:rsidRPr="002758CC">
        <w:rPr>
          <w:highlight w:val="yellow"/>
        </w:rPr>
        <w:t>Anthrax</w:t>
      </w:r>
      <w:r w:rsidRPr="002758CC">
        <w:t xml:space="preserve"> </w:t>
      </w:r>
    </w:p>
    <w:p w14:paraId="7BB9B3FE" w14:textId="77777777" w:rsidR="00807C50" w:rsidRPr="00807C50" w:rsidRDefault="00807C50" w:rsidP="002F0040">
      <w:pPr>
        <w:rPr>
          <w:highlight w:val="yellow"/>
        </w:rPr>
      </w:pPr>
    </w:p>
    <w:p w14:paraId="1E3B08B8" w14:textId="1724F9F5" w:rsidR="00807C50" w:rsidRPr="001575BC" w:rsidRDefault="00996E6F" w:rsidP="00883D96">
      <w:r>
        <w:t>A</w:t>
      </w:r>
      <w:r w:rsidRPr="00996E6F">
        <w:t>nthrax is a serious infectious disease caused by</w:t>
      </w:r>
      <w:r>
        <w:t xml:space="preserve"> </w:t>
      </w:r>
      <w:r w:rsidRPr="00FC2CC4">
        <w:rPr>
          <w:i/>
          <w:iCs/>
        </w:rPr>
        <w:t>Bacillus anthracis</w:t>
      </w:r>
      <w:r w:rsidRPr="00996E6F">
        <w:t xml:space="preserve">. </w:t>
      </w:r>
      <w:r>
        <w:t>U</w:t>
      </w:r>
      <w:r w:rsidRPr="00996E6F">
        <w:t>nder certain conditions</w:t>
      </w:r>
      <w:r w:rsidR="00FC2CC4">
        <w:t>,</w:t>
      </w:r>
      <w:r w:rsidRPr="00996E6F">
        <w:t xml:space="preserve"> </w:t>
      </w:r>
      <w:r>
        <w:t xml:space="preserve">spores form that are </w:t>
      </w:r>
      <w:r w:rsidRPr="00996E6F">
        <w:t>highly resistant</w:t>
      </w:r>
      <w:r>
        <w:t xml:space="preserve"> and are </w:t>
      </w:r>
      <w:r w:rsidRPr="00996E6F">
        <w:t xml:space="preserve">capable of persisting and retaining their virulence for many years. </w:t>
      </w:r>
      <w:r w:rsidR="00664F9F" w:rsidRPr="00664F9F">
        <w:t xml:space="preserve">People can get </w:t>
      </w:r>
      <w:r w:rsidR="00664F9F">
        <w:t xml:space="preserve">infected </w:t>
      </w:r>
      <w:r w:rsidR="00664F9F" w:rsidRPr="00664F9F">
        <w:t xml:space="preserve">with anthrax if they </w:t>
      </w:r>
      <w:proofErr w:type="gramStart"/>
      <w:r w:rsidR="00664F9F" w:rsidRPr="00664F9F">
        <w:t>come in contact with</w:t>
      </w:r>
      <w:proofErr w:type="gramEnd"/>
      <w:r w:rsidR="00664F9F" w:rsidRPr="00664F9F">
        <w:t xml:space="preserve"> infected </w:t>
      </w:r>
      <w:r w:rsidR="00664F9F" w:rsidRPr="00664F9F">
        <w:lastRenderedPageBreak/>
        <w:t>animals or contaminated animal products</w:t>
      </w:r>
      <w:r w:rsidR="00664F9F">
        <w:t xml:space="preserve">. </w:t>
      </w:r>
      <w:r w:rsidR="00807C50" w:rsidRPr="001575BC">
        <w:t xml:space="preserve">Rare cases could occur among personnel with occupational-type exposure to </w:t>
      </w:r>
      <w:r w:rsidR="00664F9F">
        <w:t xml:space="preserve">domestic and wild </w:t>
      </w:r>
      <w:r>
        <w:t xml:space="preserve">animals grazing on contaminated land </w:t>
      </w:r>
      <w:r w:rsidR="002F3E28">
        <w:t>(</w:t>
      </w:r>
      <w:r>
        <w:t>including</w:t>
      </w:r>
      <w:r w:rsidR="00807C50" w:rsidRPr="001575BC">
        <w:t xml:space="preserve"> cattle, sheep, goats, horses, pigs, water buffalo</w:t>
      </w:r>
      <w:r w:rsidR="00FC2CC4">
        <w:t>,</w:t>
      </w:r>
      <w:r w:rsidR="00807C50" w:rsidRPr="001575BC">
        <w:t xml:space="preserve"> antelopes, elephants, giraffes, </w:t>
      </w:r>
      <w:r w:rsidR="00FC2CC4">
        <w:t xml:space="preserve">and </w:t>
      </w:r>
      <w:r w:rsidR="00807C50" w:rsidRPr="001575BC">
        <w:t>zebras</w:t>
      </w:r>
      <w:r w:rsidR="7CF33115">
        <w:t>,</w:t>
      </w:r>
      <w:r>
        <w:t xml:space="preserve"> </w:t>
      </w:r>
      <w:r w:rsidR="00807C50" w:rsidRPr="001575BC">
        <w:t xml:space="preserve">or </w:t>
      </w:r>
      <w:r>
        <w:t xml:space="preserve">exposure to contaminated </w:t>
      </w:r>
      <w:r w:rsidR="00120B3B">
        <w:t xml:space="preserve">animal </w:t>
      </w:r>
      <w:r w:rsidR="00807C50" w:rsidRPr="001575BC">
        <w:t>hides or wool products from these species</w:t>
      </w:r>
      <w:r w:rsidR="002F3E28">
        <w:t>)</w:t>
      </w:r>
      <w:r w:rsidR="00807C50" w:rsidRPr="001575BC">
        <w:t xml:space="preserve">, as well as handling or consumption of undercooked </w:t>
      </w:r>
      <w:r>
        <w:t xml:space="preserve">infected </w:t>
      </w:r>
      <w:r w:rsidR="00807C50" w:rsidRPr="001575BC">
        <w:t xml:space="preserve">meat. </w:t>
      </w:r>
      <w:r w:rsidRPr="00996E6F">
        <w:t>Anthrax in humans occurs as a cutaneous, pulmonary, or intestinal infection.</w:t>
      </w:r>
      <w:r>
        <w:t xml:space="preserve"> </w:t>
      </w:r>
      <w:r w:rsidR="00807C50" w:rsidRPr="001575BC">
        <w:t xml:space="preserve">Cutaneous anthrax </w:t>
      </w:r>
      <w:r w:rsidR="00664F9F">
        <w:t xml:space="preserve">is the </w:t>
      </w:r>
      <w:r w:rsidR="00883D96">
        <w:t xml:space="preserve">most common but </w:t>
      </w:r>
      <w:r w:rsidR="00664F9F">
        <w:t>least dangerous form</w:t>
      </w:r>
      <w:r w:rsidR="00FC2CC4">
        <w:t>; it</w:t>
      </w:r>
      <w:r w:rsidR="00883D96">
        <w:t xml:space="preserve"> presents as a </w:t>
      </w:r>
      <w:r w:rsidR="00883D96" w:rsidRPr="00883D96">
        <w:t>boil-like skin lesion that eventually forms an ulcer with a black center (</w:t>
      </w:r>
      <w:r w:rsidR="00883D96">
        <w:t xml:space="preserve">painless </w:t>
      </w:r>
      <w:r w:rsidR="00883D96" w:rsidRPr="00883D96">
        <w:t>eschar)</w:t>
      </w:r>
      <w:r w:rsidR="002F3E28">
        <w:t>,</w:t>
      </w:r>
      <w:r w:rsidR="00883D96">
        <w:t xml:space="preserve"> </w:t>
      </w:r>
      <w:r w:rsidR="00807C50" w:rsidRPr="001575BC">
        <w:t>typically requiring 1 to 7 days of supportive care</w:t>
      </w:r>
      <w:r w:rsidR="002F3E28">
        <w:t>,</w:t>
      </w:r>
      <w:r w:rsidR="00807C50" w:rsidRPr="001575BC">
        <w:t xml:space="preserve"> with return to duty</w:t>
      </w:r>
      <w:r w:rsidR="00883D96">
        <w:t>. G</w:t>
      </w:r>
      <w:r w:rsidR="00807C50" w:rsidRPr="001575BC">
        <w:t xml:space="preserve">astrointestinal anthrax </w:t>
      </w:r>
      <w:r w:rsidR="00883D96">
        <w:t xml:space="preserve">occurs by eating </w:t>
      </w:r>
      <w:r w:rsidR="00883D96" w:rsidRPr="00883D96">
        <w:t>anthrax-infected meat and is characterized by diarrhea, potentially with blood</w:t>
      </w:r>
      <w:r w:rsidR="002F3E28">
        <w:t>;</w:t>
      </w:r>
      <w:r w:rsidR="002F3E28" w:rsidRPr="00883D96">
        <w:t xml:space="preserve"> </w:t>
      </w:r>
      <w:r w:rsidR="00883D96" w:rsidRPr="00883D96">
        <w:t>abdominal pains</w:t>
      </w:r>
      <w:r w:rsidR="002F3E28">
        <w:t>;</w:t>
      </w:r>
      <w:r w:rsidR="002F3E28" w:rsidRPr="00883D96">
        <w:t xml:space="preserve"> </w:t>
      </w:r>
      <w:r w:rsidR="00883D96" w:rsidRPr="00883D96">
        <w:t>acute inflammation of the intestinal tract</w:t>
      </w:r>
      <w:r w:rsidR="002F3E28">
        <w:t>;</w:t>
      </w:r>
      <w:r w:rsidR="002F3E28" w:rsidRPr="00883D96">
        <w:t xml:space="preserve"> </w:t>
      </w:r>
      <w:r w:rsidR="00883D96" w:rsidRPr="00883D96">
        <w:t>and loss of appetite.</w:t>
      </w:r>
      <w:r w:rsidR="00883D96">
        <w:t xml:space="preserve"> </w:t>
      </w:r>
      <w:r w:rsidR="00883D96" w:rsidRPr="00883D96">
        <w:t xml:space="preserve">Occasional vomiting of blood can occur. </w:t>
      </w:r>
      <w:r w:rsidR="00883D96">
        <w:t>After</w:t>
      </w:r>
      <w:r w:rsidR="00883D96" w:rsidRPr="00883D96">
        <w:t xml:space="preserve"> invad</w:t>
      </w:r>
      <w:r w:rsidR="00883D96">
        <w:t>ing t</w:t>
      </w:r>
      <w:r w:rsidR="00883D96" w:rsidRPr="00883D96">
        <w:t>he gastrointestinal system, it spreads to the bloodstream and throughout the body, while continuing to make toxins.</w:t>
      </w:r>
      <w:r w:rsidR="00883D96">
        <w:t xml:space="preserve"> It </w:t>
      </w:r>
      <w:r w:rsidR="00807C50" w:rsidRPr="001575BC">
        <w:t>requir</w:t>
      </w:r>
      <w:r w:rsidR="00883D96">
        <w:t>es</w:t>
      </w:r>
      <w:r w:rsidR="00807C50" w:rsidRPr="001575BC">
        <w:t xml:space="preserve"> hospitalization and</w:t>
      </w:r>
      <w:r w:rsidR="00883D96">
        <w:t xml:space="preserve"> is </w:t>
      </w:r>
      <w:r w:rsidR="00807C50" w:rsidRPr="001575BC">
        <w:t xml:space="preserve">fatal if untreated. </w:t>
      </w:r>
      <w:r w:rsidR="00883D96">
        <w:t xml:space="preserve">Inhalation anthrax usually develops within a week after exposure but may take up to 2 months. During the first few days of illness (prodromal phase) most people have fever, chills, and fatigue, and may be accompanied by cough, shortness of breath, chest pain, and nausea or vomiting. Over the next few days, shortness of breath, cough, and chest pain become more common, and complaints not involving the chest such as nausea, vomiting, altered mental status, sweats, and headache develop in </w:t>
      </w:r>
      <w:r w:rsidR="00AA4E4C">
        <w:t xml:space="preserve">about 1/3 </w:t>
      </w:r>
      <w:r w:rsidR="00883D96">
        <w:t>of people. Altered mental status or shortness of breath marks the fulminant phase of illness. Hemorrhagic mediastinitis is nearly patho</w:t>
      </w:r>
      <w:r w:rsidR="00AA4E4C">
        <w:t>g</w:t>
      </w:r>
      <w:r w:rsidR="00883D96">
        <w:t>nom</w:t>
      </w:r>
      <w:r w:rsidR="002448F1">
        <w:t>on</w:t>
      </w:r>
      <w:r w:rsidR="00883D96">
        <w:t>ic for inhalation anthrax. The second (pneumonia) stage occurs when the infection spreads from the lymph nodes to the lungs. Symptoms of the second stage develop suddenly within hours or days after the first stage. Symptoms include high fever, extreme shortness of breath, shock, and rapid death within 48 hours in fatal cases.</w:t>
      </w:r>
      <w:r w:rsidR="00AA4E4C">
        <w:t xml:space="preserve"> </w:t>
      </w:r>
      <w:r w:rsidR="004863C0" w:rsidRPr="00AA4E4C">
        <w:t>Inhalation</w:t>
      </w:r>
      <w:r w:rsidR="00AA4E4C" w:rsidRPr="00AA4E4C">
        <w:t xml:space="preserve"> anthrax is very severe, often requiring intensive care with potential fatalities occurring even in treated cases. </w:t>
      </w:r>
      <w:r w:rsidR="00807C50" w:rsidRPr="001575BC">
        <w:t xml:space="preserve">The </w:t>
      </w:r>
      <w:r w:rsidR="00FC2CC4">
        <w:t>likelihood</w:t>
      </w:r>
      <w:r w:rsidR="00807C50" w:rsidRPr="001575BC">
        <w:t xml:space="preserve"> of naturally acquired inhalation (pulmonary) anthrax is remote</w:t>
      </w:r>
      <w:r w:rsidR="00664F9F">
        <w:t xml:space="preserve">, </w:t>
      </w:r>
      <w:r w:rsidR="007F2D4D">
        <w:t xml:space="preserve">though </w:t>
      </w:r>
      <w:r w:rsidR="00664F9F">
        <w:t>concern</w:t>
      </w:r>
      <w:r w:rsidR="007F2D4D">
        <w:t>s exist</w:t>
      </w:r>
      <w:r w:rsidR="00664F9F">
        <w:t xml:space="preserve"> over its</w:t>
      </w:r>
      <w:r w:rsidR="007F2D4D">
        <w:t xml:space="preserve"> potential</w:t>
      </w:r>
      <w:r w:rsidR="00664F9F">
        <w:t xml:space="preserve"> use in weaponized form as a deliberate bioterrorism agent</w:t>
      </w:r>
      <w:r w:rsidR="00807C50" w:rsidRPr="001575BC">
        <w:t>. Mitigation strategies in place include avoiding contact with livestock or consumption of undercooked meat</w:t>
      </w:r>
      <w:r w:rsidR="00664F9F">
        <w:t xml:space="preserve"> and prophylactic vaccination</w:t>
      </w:r>
      <w:r w:rsidR="00807C50" w:rsidRPr="001575BC">
        <w:t>.</w:t>
      </w:r>
      <w:r w:rsidR="00664F9F">
        <w:t xml:space="preserve"> Treatment is with prolonged antibiotics and a combination of antibiotics and antitoxin for inhalation anthrax.</w:t>
      </w:r>
    </w:p>
    <w:p w14:paraId="59CA2E9E" w14:textId="77777777" w:rsidR="00807C50" w:rsidRPr="00807C50" w:rsidRDefault="00807C50" w:rsidP="002F0040">
      <w:pPr>
        <w:rPr>
          <w:highlight w:val="yellow"/>
        </w:rPr>
      </w:pPr>
    </w:p>
    <w:p w14:paraId="3C6B50F2" w14:textId="6D2524F0" w:rsidR="00807C50" w:rsidRPr="002758CC" w:rsidRDefault="00807C50" w:rsidP="00FD4769">
      <w:pPr>
        <w:pStyle w:val="Heading3"/>
      </w:pPr>
      <w:r w:rsidRPr="002758CC">
        <w:rPr>
          <w:highlight w:val="yellow"/>
        </w:rPr>
        <w:t>H</w:t>
      </w:r>
      <w:r w:rsidRPr="00A26358">
        <w:rPr>
          <w:highlight w:val="yellow"/>
        </w:rPr>
        <w:t>5</w:t>
      </w:r>
      <w:r w:rsidRPr="002758CC">
        <w:rPr>
          <w:highlight w:val="yellow"/>
        </w:rPr>
        <w:t>N</w:t>
      </w:r>
      <w:r w:rsidRPr="00A26358">
        <w:rPr>
          <w:highlight w:val="yellow"/>
        </w:rPr>
        <w:t>1</w:t>
      </w:r>
      <w:r w:rsidRPr="002758CC">
        <w:rPr>
          <w:highlight w:val="yellow"/>
        </w:rPr>
        <w:t xml:space="preserve"> avian influenza</w:t>
      </w:r>
    </w:p>
    <w:p w14:paraId="7C0D1CD1" w14:textId="77777777" w:rsidR="00807C50" w:rsidRPr="00807C50" w:rsidRDefault="00807C50" w:rsidP="002F0040">
      <w:pPr>
        <w:rPr>
          <w:highlight w:val="yellow"/>
        </w:rPr>
      </w:pPr>
    </w:p>
    <w:p w14:paraId="47DEBF38" w14:textId="2F1BA982" w:rsidR="00807C50" w:rsidRPr="003D2B54" w:rsidRDefault="00AA4E4C" w:rsidP="002F0040">
      <w:pPr>
        <w:rPr>
          <w:bCs/>
        </w:rPr>
      </w:pPr>
      <w:r w:rsidRPr="00AA4E4C">
        <w:t>Influenza A virus subtype H5N1 (A/H5N1) is a subtype of the influenza A virus</w:t>
      </w:r>
      <w:r>
        <w:t xml:space="preserve">. It can cause illness in many animal species and rarely in humans. </w:t>
      </w:r>
      <w:r w:rsidR="00BE50D6">
        <w:t>There are two varieties of H5N1 in birds. One</w:t>
      </w:r>
      <w:r w:rsidR="002F3E28">
        <w:t xml:space="preserve"> variety</w:t>
      </w:r>
      <w:r w:rsidR="00BE50D6">
        <w:t xml:space="preserve"> is L</w:t>
      </w:r>
      <w:r w:rsidR="00BE50D6" w:rsidRPr="00BE50D6">
        <w:t xml:space="preserve">ow </w:t>
      </w:r>
      <w:r w:rsidR="00BE50D6">
        <w:t>P</w:t>
      </w:r>
      <w:r w:rsidR="00BE50D6" w:rsidRPr="00BE50D6">
        <w:t xml:space="preserve">athogenic </w:t>
      </w:r>
      <w:r w:rsidR="00BE50D6">
        <w:t>A</w:t>
      </w:r>
      <w:r w:rsidR="00BE50D6" w:rsidRPr="00BE50D6">
        <w:t xml:space="preserve">vian </w:t>
      </w:r>
      <w:r w:rsidR="00BE50D6">
        <w:t>I</w:t>
      </w:r>
      <w:r w:rsidR="00BE50D6" w:rsidRPr="00BE50D6">
        <w:t>nfluenza H5N1 (LPAI H5N1)</w:t>
      </w:r>
      <w:r w:rsidR="002F3E28">
        <w:t>,</w:t>
      </w:r>
      <w:r w:rsidR="00BE50D6" w:rsidRPr="00BE50D6">
        <w:t xml:space="preserve"> also called "North American" H5N1</w:t>
      </w:r>
      <w:r w:rsidR="00BE50D6">
        <w:t>. I</w:t>
      </w:r>
      <w:r w:rsidR="00BE50D6" w:rsidRPr="00BE50D6">
        <w:t xml:space="preserve">n most cases, </w:t>
      </w:r>
      <w:r w:rsidR="00BE50D6">
        <w:t xml:space="preserve">LPAI H5N1 </w:t>
      </w:r>
      <w:r w:rsidR="00BE50D6" w:rsidRPr="00BE50D6">
        <w:t xml:space="preserve">causes minor sickness or no noticeable signs of disease in birds. It is not known to </w:t>
      </w:r>
      <w:r w:rsidR="00BE50D6">
        <w:t xml:space="preserve">infect </w:t>
      </w:r>
      <w:r w:rsidR="00BE50D6" w:rsidRPr="00BE50D6">
        <w:t>humans</w:t>
      </w:r>
      <w:r w:rsidR="00BE50D6">
        <w:t>. The other</w:t>
      </w:r>
      <w:r w:rsidR="002F3E28">
        <w:t xml:space="preserve"> variety</w:t>
      </w:r>
      <w:r w:rsidR="00BE50D6">
        <w:t xml:space="preserve">, which is more </w:t>
      </w:r>
      <w:r w:rsidR="002A5E06">
        <w:t>alarming</w:t>
      </w:r>
      <w:r w:rsidR="00BE50D6">
        <w:t xml:space="preserve">, is </w:t>
      </w:r>
      <w:r w:rsidRPr="00AA4E4C">
        <w:t xml:space="preserve">HPAI A(H5N1) for </w:t>
      </w:r>
      <w:r>
        <w:t>H</w:t>
      </w:r>
      <w:r w:rsidRPr="00AA4E4C">
        <w:t xml:space="preserve">ighly </w:t>
      </w:r>
      <w:r>
        <w:t>P</w:t>
      </w:r>
      <w:r w:rsidRPr="00AA4E4C">
        <w:t xml:space="preserve">athogenic </w:t>
      </w:r>
      <w:r>
        <w:t>A</w:t>
      </w:r>
      <w:r w:rsidRPr="00AA4E4C">
        <w:t xml:space="preserve">vian </w:t>
      </w:r>
      <w:r>
        <w:t>I</w:t>
      </w:r>
      <w:r w:rsidRPr="00AA4E4C">
        <w:t>nfluenza virus of type A subtype H5N1</w:t>
      </w:r>
      <w:r w:rsidR="00BE50D6">
        <w:t xml:space="preserve">. These bird-adapted influenza A viruses are commonly </w:t>
      </w:r>
      <w:r w:rsidRPr="00AA4E4C">
        <w:t xml:space="preserve">known as </w:t>
      </w:r>
      <w:r w:rsidR="00BE50D6">
        <w:t>A</w:t>
      </w:r>
      <w:r w:rsidRPr="00AA4E4C">
        <w:t xml:space="preserve">vian </w:t>
      </w:r>
      <w:r w:rsidR="00BE50D6">
        <w:t>I</w:t>
      </w:r>
      <w:r w:rsidRPr="00AA4E4C">
        <w:t>nfluenza (</w:t>
      </w:r>
      <w:r w:rsidR="00BE50D6">
        <w:t>“</w:t>
      </w:r>
      <w:r w:rsidRPr="00AA4E4C">
        <w:t>bird flu</w:t>
      </w:r>
      <w:r w:rsidR="00BE50D6">
        <w:t>”</w:t>
      </w:r>
      <w:r w:rsidRPr="00AA4E4C">
        <w:t>). It is e</w:t>
      </w:r>
      <w:r w:rsidR="001A6E70">
        <w:t>pi</w:t>
      </w:r>
      <w:r w:rsidRPr="00AA4E4C">
        <w:t xml:space="preserve">zootic (maintained in </w:t>
      </w:r>
      <w:r w:rsidR="001A6E70">
        <w:t xml:space="preserve">animal </w:t>
      </w:r>
      <w:r w:rsidRPr="00AA4E4C">
        <w:t>population</w:t>
      </w:r>
      <w:r w:rsidR="001A6E70">
        <w:t>s</w:t>
      </w:r>
      <w:r w:rsidRPr="00AA4E4C">
        <w:t>) in many bird populations</w:t>
      </w:r>
      <w:r>
        <w:t xml:space="preserve">. </w:t>
      </w:r>
      <w:r w:rsidR="00807C50" w:rsidRPr="001575BC">
        <w:t>Although a</w:t>
      </w:r>
      <w:r w:rsidR="00807C50" w:rsidRPr="001575BC">
        <w:rPr>
          <w:iCs/>
        </w:rPr>
        <w:t>vian influenza</w:t>
      </w:r>
      <w:r w:rsidR="00807C50" w:rsidRPr="001575BC">
        <w:t xml:space="preserve"> is easily transmitted among birds, bird-to-human transmission is extremely inefficient. Human-to-human transmission appears to be exceedingly rare, even with close contact. </w:t>
      </w:r>
      <w:r w:rsidR="00BE50D6">
        <w:t xml:space="preserve">Exposure </w:t>
      </w:r>
      <w:r w:rsidR="00807C50" w:rsidRPr="001575BC">
        <w:rPr>
          <w:bCs/>
        </w:rPr>
        <w:t xml:space="preserve">could result in very severe illness with </w:t>
      </w:r>
      <w:r w:rsidR="006751E5">
        <w:rPr>
          <w:bCs/>
        </w:rPr>
        <w:t xml:space="preserve">a </w:t>
      </w:r>
      <w:r w:rsidR="00807C50" w:rsidRPr="001575BC">
        <w:rPr>
          <w:bCs/>
        </w:rPr>
        <w:t xml:space="preserve">fatality rate </w:t>
      </w:r>
      <w:r>
        <w:rPr>
          <w:bCs/>
        </w:rPr>
        <w:t xml:space="preserve">of </w:t>
      </w:r>
      <w:r w:rsidR="00807C50" w:rsidRPr="001575BC">
        <w:rPr>
          <w:bCs/>
        </w:rPr>
        <w:t>50</w:t>
      </w:r>
      <w:r w:rsidR="002A5E06">
        <w:rPr>
          <w:rFonts w:cs="Arial"/>
          <w:bCs/>
        </w:rPr>
        <w:t>–</w:t>
      </w:r>
      <w:r>
        <w:rPr>
          <w:bCs/>
        </w:rPr>
        <w:t>60%</w:t>
      </w:r>
      <w:r w:rsidR="00807C50" w:rsidRPr="001575BC">
        <w:rPr>
          <w:bCs/>
        </w:rPr>
        <w:t xml:space="preserve"> in symptomatic cases.</w:t>
      </w:r>
      <w:r w:rsidR="00807C50" w:rsidRPr="001575BC">
        <w:t xml:space="preserve"> </w:t>
      </w:r>
      <w:r w:rsidRPr="00AA4E4C">
        <w:t xml:space="preserve">Due to the high lethality </w:t>
      </w:r>
      <w:r w:rsidR="001A6E70">
        <w:t xml:space="preserve">(greater than 90%) </w:t>
      </w:r>
      <w:r w:rsidRPr="00AA4E4C">
        <w:t>and virulence</w:t>
      </w:r>
      <w:r w:rsidR="00BE50D6">
        <w:t xml:space="preserve"> of HPAI A(H5N1),</w:t>
      </w:r>
      <w:r w:rsidRPr="00AA4E4C">
        <w:t xml:space="preserve"> </w:t>
      </w:r>
      <w:r w:rsidR="002A5E06">
        <w:t xml:space="preserve">as well as </w:t>
      </w:r>
      <w:r w:rsidRPr="00AA4E4C">
        <w:t>its endemic presence, increasingly large host reservoir, and significant ongoing mutations,</w:t>
      </w:r>
      <w:r>
        <w:t xml:space="preserve"> it </w:t>
      </w:r>
      <w:proofErr w:type="gramStart"/>
      <w:r>
        <w:t xml:space="preserve">is considered </w:t>
      </w:r>
      <w:r w:rsidRPr="00AA4E4C">
        <w:t>to be</w:t>
      </w:r>
      <w:proofErr w:type="gramEnd"/>
      <w:r w:rsidRPr="00AA4E4C">
        <w:t xml:space="preserve"> the world's largest pandemic threat</w:t>
      </w:r>
      <w:r>
        <w:t xml:space="preserve">. </w:t>
      </w:r>
      <w:r w:rsidR="001A6E70">
        <w:t xml:space="preserve">Many </w:t>
      </w:r>
      <w:r w:rsidR="001A6E70" w:rsidRPr="001A6E70">
        <w:t xml:space="preserve">species of wild and captive </w:t>
      </w:r>
      <w:r w:rsidR="001A6E70" w:rsidRPr="001A6E70">
        <w:lastRenderedPageBreak/>
        <w:t>mammals ha</w:t>
      </w:r>
      <w:r w:rsidR="001A6E70">
        <w:t xml:space="preserve">ve </w:t>
      </w:r>
      <w:r w:rsidR="001A6E70" w:rsidRPr="001A6E70">
        <w:t>become infected with H5N1</w:t>
      </w:r>
      <w:r w:rsidR="001A6E70">
        <w:t xml:space="preserve"> (including mink, zoo animals, seals, pets, etc.). </w:t>
      </w:r>
      <w:r w:rsidR="00BE50D6">
        <w:t xml:space="preserve">Humans who become infected may have </w:t>
      </w:r>
      <w:r w:rsidRPr="00AA4E4C">
        <w:t>symptoms that include fever, cough, sore throat, muscle aches, conjunctivitis, and, in severe cases, breathing problems and pneumonia that may be fatal</w:t>
      </w:r>
      <w:r w:rsidR="003044C9">
        <w:t xml:space="preserve">. </w:t>
      </w:r>
      <w:r w:rsidR="00807C50" w:rsidRPr="001575BC">
        <w:t>Mitigation strategies included avoidance of birds/poultry and proper cooking temperatures for poultry products.</w:t>
      </w:r>
      <w:r w:rsidR="001A6E70">
        <w:t xml:space="preserve"> </w:t>
      </w:r>
      <w:r w:rsidR="00BE50D6">
        <w:t xml:space="preserve">There are no human vaccines and no specific </w:t>
      </w:r>
      <w:r w:rsidR="001A6E70">
        <w:t xml:space="preserve">effective </w:t>
      </w:r>
      <w:r w:rsidR="00BE50D6">
        <w:t>antiviral treatment</w:t>
      </w:r>
      <w:r w:rsidR="001A6E70">
        <w:t>, though there are candidate antivirals and vaccines</w:t>
      </w:r>
      <w:r w:rsidR="00BE50D6">
        <w:t>.</w:t>
      </w:r>
    </w:p>
    <w:p w14:paraId="54219802" w14:textId="45F439B4" w:rsidR="00791A7F" w:rsidRDefault="00791A7F" w:rsidP="002F0040"/>
    <w:p w14:paraId="292907D7" w14:textId="3E0972D3" w:rsidR="00AA1977" w:rsidRPr="00F83550" w:rsidRDefault="00AA1977" w:rsidP="00580B36">
      <w:pPr>
        <w:pStyle w:val="Heading2"/>
      </w:pPr>
      <w:r w:rsidRPr="00863A0B">
        <w:t>Aerosolized Dust or Soil-contact Diseases</w:t>
      </w:r>
    </w:p>
    <w:p w14:paraId="12E8244B" w14:textId="77777777" w:rsidR="006A0776" w:rsidRPr="00F83550" w:rsidRDefault="006A0776" w:rsidP="002F0040"/>
    <w:p w14:paraId="6EC515E1" w14:textId="6EB2F32C" w:rsidR="003322D0" w:rsidRPr="002F2E05" w:rsidRDefault="00AA4FB4" w:rsidP="00442843">
      <w:pPr>
        <w:pStyle w:val="Heading3"/>
        <w:ind w:left="0" w:firstLine="0"/>
      </w:pPr>
      <w:r w:rsidRPr="001575BC">
        <w:rPr>
          <w:highlight w:val="yellow"/>
        </w:rPr>
        <w:t>Soil-transmitted helminth</w:t>
      </w:r>
      <w:r w:rsidR="00442843">
        <w:rPr>
          <w:highlight w:val="yellow"/>
        </w:rPr>
        <w:t xml:space="preserve"> (STH) infections are caused by different species of </w:t>
      </w:r>
      <w:r w:rsidR="00A15D0F">
        <w:rPr>
          <w:highlight w:val="yellow"/>
        </w:rPr>
        <w:t xml:space="preserve">intestinal </w:t>
      </w:r>
      <w:r w:rsidR="00442843">
        <w:rPr>
          <w:highlight w:val="yellow"/>
        </w:rPr>
        <w:t>parasitic worms</w:t>
      </w:r>
      <w:r w:rsidR="00A15D0F">
        <w:rPr>
          <w:highlight w:val="yellow"/>
        </w:rPr>
        <w:t>.</w:t>
      </w:r>
      <w:r w:rsidR="00442843">
        <w:rPr>
          <w:highlight w:val="yellow"/>
        </w:rPr>
        <w:t xml:space="preserve"> </w:t>
      </w:r>
      <w:r w:rsidR="00442843">
        <w:t>T</w:t>
      </w:r>
      <w:r w:rsidR="00442843" w:rsidRPr="00442843">
        <w:t>he main species that infect people are the roundworm (</w:t>
      </w:r>
      <w:r w:rsidR="00442843" w:rsidRPr="00EC05E0">
        <w:rPr>
          <w:i/>
          <w:iCs/>
        </w:rPr>
        <w:t>Ascaris lumbricoides</w:t>
      </w:r>
      <w:r w:rsidR="00442843" w:rsidRPr="00442843">
        <w:t>), the whipworm (</w:t>
      </w:r>
      <w:r w:rsidR="00442843" w:rsidRPr="00EC05E0">
        <w:rPr>
          <w:i/>
          <w:iCs/>
        </w:rPr>
        <w:t xml:space="preserve">Trichuris </w:t>
      </w:r>
      <w:proofErr w:type="spellStart"/>
      <w:r w:rsidR="00442843" w:rsidRPr="00EC05E0">
        <w:rPr>
          <w:i/>
          <w:iCs/>
        </w:rPr>
        <w:t>trichiura</w:t>
      </w:r>
      <w:proofErr w:type="spellEnd"/>
      <w:r w:rsidR="00442843" w:rsidRPr="00442843">
        <w:t>)</w:t>
      </w:r>
      <w:r w:rsidR="00EC05E0">
        <w:t>,</w:t>
      </w:r>
      <w:r w:rsidR="00442843" w:rsidRPr="00442843">
        <w:t xml:space="preserve"> and hookworms (</w:t>
      </w:r>
      <w:proofErr w:type="spellStart"/>
      <w:r w:rsidR="00442843" w:rsidRPr="00EC05E0">
        <w:rPr>
          <w:i/>
          <w:iCs/>
        </w:rPr>
        <w:t>Necator</w:t>
      </w:r>
      <w:proofErr w:type="spellEnd"/>
      <w:r w:rsidR="00442843" w:rsidRPr="00EC05E0">
        <w:rPr>
          <w:i/>
          <w:iCs/>
        </w:rPr>
        <w:t xml:space="preserve"> americanus</w:t>
      </w:r>
      <w:r w:rsidR="00442843" w:rsidRPr="00442843">
        <w:t xml:space="preserve"> and </w:t>
      </w:r>
      <w:proofErr w:type="spellStart"/>
      <w:r w:rsidR="00442843" w:rsidRPr="00442843">
        <w:t>A</w:t>
      </w:r>
      <w:r w:rsidR="00442843" w:rsidRPr="00EC05E0">
        <w:rPr>
          <w:i/>
          <w:iCs/>
        </w:rPr>
        <w:t>ncylostoma</w:t>
      </w:r>
      <w:proofErr w:type="spellEnd"/>
      <w:r w:rsidR="00442843" w:rsidRPr="00EC05E0">
        <w:rPr>
          <w:i/>
          <w:iCs/>
        </w:rPr>
        <w:t xml:space="preserve"> duodenale</w:t>
      </w:r>
      <w:r w:rsidR="00442843" w:rsidRPr="00442843">
        <w:t>). These STH species are normally addressed as a group because they need similar diagnostic procedures and respond to the same medic</w:t>
      </w:r>
      <w:r w:rsidR="00442843">
        <w:t xml:space="preserve">ations. </w:t>
      </w:r>
      <w:r w:rsidR="00442843" w:rsidRPr="00442843">
        <w:t>STH infections are among the most common infections worldwide</w:t>
      </w:r>
      <w:r w:rsidR="00E77644">
        <w:t>,</w:t>
      </w:r>
      <w:r w:rsidR="00442843" w:rsidRPr="00442843">
        <w:t xml:space="preserve"> with an estimated 1.5 billion infected people </w:t>
      </w:r>
      <w:r w:rsidR="00EC05E0">
        <w:t>(</w:t>
      </w:r>
      <w:r w:rsidR="00442843" w:rsidRPr="00442843">
        <w:t>24% of the world’s population</w:t>
      </w:r>
      <w:r w:rsidR="00EC05E0">
        <w:t>)</w:t>
      </w:r>
      <w:r w:rsidR="00442843" w:rsidRPr="00442843">
        <w:t>. These infections affect the poorest and most deprived communities</w:t>
      </w:r>
      <w:r w:rsidR="00E77644">
        <w:t>. These communities have</w:t>
      </w:r>
      <w:r w:rsidR="00442843" w:rsidRPr="00442843">
        <w:t xml:space="preserve"> poor access to clean water, sanitation</w:t>
      </w:r>
      <w:r w:rsidR="005F7DDD">
        <w:t>,</w:t>
      </w:r>
      <w:r w:rsidR="00442843" w:rsidRPr="00442843">
        <w:t xml:space="preserve"> and hygiene in tropical and subtropical areas, with the highest prevalence reported from sub-Saharan Africa, China, South America</w:t>
      </w:r>
      <w:r w:rsidR="00EC05E0">
        <w:t>,</w:t>
      </w:r>
      <w:r w:rsidR="00442843" w:rsidRPr="00442843">
        <w:t xml:space="preserve"> and Asia. </w:t>
      </w:r>
      <w:r w:rsidR="00A15D0F" w:rsidRPr="00A15D0F">
        <w:t>There is no direct person-to-person transmission or infection from fresh feces because eggs passed in feces need about 3 weeks to mature in the soil before they become infective</w:t>
      </w:r>
      <w:r w:rsidR="00DD11F2">
        <w:t>. H</w:t>
      </w:r>
      <w:r w:rsidR="00DD11F2" w:rsidRPr="00A15D0F">
        <w:t>ookworm eggs hatch in the soil, releasing larvae that mature into a form that can actively penetrate the skin. People become infected with hookworm primarily by walking barefoot on the contaminated</w:t>
      </w:r>
      <w:r w:rsidR="00DD11F2">
        <w:t xml:space="preserve"> soil</w:t>
      </w:r>
      <w:r w:rsidR="00442843" w:rsidRPr="00442843">
        <w:t>.</w:t>
      </w:r>
      <w:r w:rsidR="00A15D0F">
        <w:t xml:space="preserve"> </w:t>
      </w:r>
    </w:p>
    <w:p w14:paraId="19E54144" w14:textId="77777777" w:rsidR="003322D0" w:rsidRPr="002F2E05" w:rsidRDefault="003322D0" w:rsidP="002F0040"/>
    <w:p w14:paraId="34E9958C" w14:textId="2ECF646E" w:rsidR="00A15D0F" w:rsidRDefault="008C71A1" w:rsidP="002F0040">
      <w:r w:rsidRPr="002F2E05">
        <w:t>Ascaris and whipworm can also be transmitted by hand</w:t>
      </w:r>
      <w:r w:rsidR="00E77644">
        <w:t>-</w:t>
      </w:r>
      <w:r w:rsidRPr="002F2E05">
        <w:t>to</w:t>
      </w:r>
      <w:r w:rsidR="00E77644">
        <w:t>-</w:t>
      </w:r>
      <w:r w:rsidRPr="002F2E05">
        <w:t xml:space="preserve">mouth when hands are infected with contaminated dirt or by consuming vegetables or fruits that have not been cooked or washed. Heavy infections cause abdominal pain, diarrhea, blood and protein loss, and rectal prolapse. </w:t>
      </w:r>
    </w:p>
    <w:p w14:paraId="57207C44" w14:textId="144C2887" w:rsidR="00A15D0F" w:rsidRDefault="00A15D0F" w:rsidP="002F0040"/>
    <w:p w14:paraId="48BB8521" w14:textId="7A0DE302" w:rsidR="00A15D0F" w:rsidRDefault="00A15D0F" w:rsidP="00A15D0F">
      <w:r>
        <w:t xml:space="preserve">Morbidity is related to the number of worms harbored. People with infections of light intensity (few worms) usually do not suffer from the infection. Heavier infections can cause a range of symptoms including intestinal manifestations (diarrhea and abdominal pain), malnutrition, general malaise and weakness, and impaired growth and physical development of children. </w:t>
      </w:r>
    </w:p>
    <w:p w14:paraId="703C0F14" w14:textId="77777777" w:rsidR="00A15D0F" w:rsidRDefault="00A15D0F" w:rsidP="002F0040"/>
    <w:p w14:paraId="475EB9CD" w14:textId="5E7D0D85" w:rsidR="008C71A1" w:rsidRDefault="008C71A1" w:rsidP="002F0040">
      <w:r w:rsidRPr="002F2E05">
        <w:t xml:space="preserve">Soil-transmitted helminth infections are treatable with </w:t>
      </w:r>
      <w:r w:rsidR="00680ED8">
        <w:t>anti-parasitic</w:t>
      </w:r>
      <w:r w:rsidR="00680ED8" w:rsidRPr="002F2E05">
        <w:t xml:space="preserve"> </w:t>
      </w:r>
      <w:r w:rsidRPr="002F2E05">
        <w:t>medication</w:t>
      </w:r>
      <w:r w:rsidR="00A15D0F">
        <w:t xml:space="preserve"> including albendazole, mebendazole, and ivermectin. </w:t>
      </w:r>
      <w:r w:rsidR="00A15D0F" w:rsidRPr="00A15D0F">
        <w:t>Infections of very high intensity can cause intestinal obstruction that should be treated surgically.</w:t>
      </w:r>
    </w:p>
    <w:p w14:paraId="0C5E7766" w14:textId="0A28B6B1" w:rsidR="00A15D0F" w:rsidRDefault="00A15D0F" w:rsidP="002F0040"/>
    <w:p w14:paraId="56F567F6" w14:textId="21D8C4AF" w:rsidR="00A15D0F" w:rsidRDefault="00A52BC7" w:rsidP="002F0040">
      <w:r>
        <w:t>Threadworm (</w:t>
      </w:r>
      <w:proofErr w:type="spellStart"/>
      <w:r w:rsidR="00A15D0F" w:rsidRPr="003E4C48">
        <w:rPr>
          <w:i/>
          <w:iCs/>
        </w:rPr>
        <w:t>Strongyloides</w:t>
      </w:r>
      <w:proofErr w:type="spellEnd"/>
      <w:r w:rsidR="00A15D0F" w:rsidRPr="003E4C48">
        <w:rPr>
          <w:i/>
          <w:iCs/>
        </w:rPr>
        <w:t xml:space="preserve"> </w:t>
      </w:r>
      <w:proofErr w:type="spellStart"/>
      <w:r w:rsidR="00A15D0F" w:rsidRPr="003E4C48">
        <w:rPr>
          <w:i/>
          <w:iCs/>
        </w:rPr>
        <w:t>stercoralis</w:t>
      </w:r>
      <w:proofErr w:type="spellEnd"/>
      <w:r>
        <w:t>)</w:t>
      </w:r>
      <w:r w:rsidR="00A15D0F" w:rsidRPr="00A15D0F">
        <w:t xml:space="preserve"> is an </w:t>
      </w:r>
      <w:r w:rsidR="00A15D0F">
        <w:t xml:space="preserve">additional </w:t>
      </w:r>
      <w:r w:rsidR="00A15D0F" w:rsidRPr="00A15D0F">
        <w:t xml:space="preserve">intestinal helminth </w:t>
      </w:r>
      <w:r w:rsidR="003E4C48">
        <w:t>that</w:t>
      </w:r>
      <w:r w:rsidR="00A15D0F">
        <w:t xml:space="preserve"> is typically considered separately from other soil-transmitted helminths as it has </w:t>
      </w:r>
      <w:r w:rsidR="00A15D0F" w:rsidRPr="00A15D0F">
        <w:t>peculiar characteristics</w:t>
      </w:r>
      <w:r w:rsidR="00A15D0F">
        <w:t>.</w:t>
      </w:r>
      <w:r w:rsidRPr="00A52BC7">
        <w:t xml:space="preserve"> </w:t>
      </w:r>
      <w:r>
        <w:t>A</w:t>
      </w:r>
      <w:r w:rsidRPr="00A52BC7">
        <w:t>n estimated 30</w:t>
      </w:r>
      <w:r w:rsidR="00321F92">
        <w:rPr>
          <w:rFonts w:cs="Arial"/>
        </w:rPr>
        <w:t>–</w:t>
      </w:r>
      <w:r w:rsidRPr="00A52BC7">
        <w:t>100 million people are infected worldwide.</w:t>
      </w:r>
      <w:r w:rsidR="00A15D0F">
        <w:t xml:space="preserve"> </w:t>
      </w:r>
      <w:r>
        <w:t xml:space="preserve">It </w:t>
      </w:r>
      <w:r w:rsidRPr="00A52BC7">
        <w:t>has the unique ability to develop to adulthood in soil as well as</w:t>
      </w:r>
      <w:r w:rsidR="003E4C48">
        <w:t xml:space="preserve"> in</w:t>
      </w:r>
      <w:r w:rsidRPr="00A52BC7">
        <w:t xml:space="preserve"> the human intestine. </w:t>
      </w:r>
      <w:r>
        <w:t>U</w:t>
      </w:r>
      <w:r w:rsidRPr="00A52BC7">
        <w:t xml:space="preserve">nlike other soil-transmitted roundworms, </w:t>
      </w:r>
      <w:r w:rsidRPr="003E4C48">
        <w:rPr>
          <w:i/>
          <w:iCs/>
        </w:rPr>
        <w:t xml:space="preserve">S. </w:t>
      </w:r>
      <w:proofErr w:type="spellStart"/>
      <w:r w:rsidRPr="003E4C48">
        <w:rPr>
          <w:i/>
          <w:iCs/>
        </w:rPr>
        <w:t>stercoralis</w:t>
      </w:r>
      <w:proofErr w:type="spellEnd"/>
      <w:r w:rsidRPr="00A52BC7">
        <w:t xml:space="preserve"> is capable of </w:t>
      </w:r>
      <w:r w:rsidR="004863C0" w:rsidRPr="00A52BC7">
        <w:t>auto</w:t>
      </w:r>
      <w:r w:rsidR="004863C0">
        <w:t>infection</w:t>
      </w:r>
      <w:r w:rsidRPr="00A52BC7">
        <w:t>, which can result in chronic disease lasting decades, or cause overwhelming hyper</w:t>
      </w:r>
      <w:r>
        <w:t>-</w:t>
      </w:r>
      <w:r w:rsidRPr="00A52BC7">
        <w:t xml:space="preserve">infection </w:t>
      </w:r>
      <w:r>
        <w:t xml:space="preserve">(with dissemination through the </w:t>
      </w:r>
      <w:r w:rsidRPr="00A52BC7">
        <w:t>bloodstream, lungs, central nervous system, and other organs</w:t>
      </w:r>
      <w:r>
        <w:t>)</w:t>
      </w:r>
      <w:r w:rsidRPr="00A52BC7">
        <w:t>.</w:t>
      </w:r>
      <w:r>
        <w:t xml:space="preserve"> F</w:t>
      </w:r>
      <w:r w:rsidRPr="00A52BC7">
        <w:t xml:space="preserve">indings </w:t>
      </w:r>
      <w:r>
        <w:t xml:space="preserve">of </w:t>
      </w:r>
      <w:r w:rsidRPr="00A52BC7">
        <w:t>Strongyloidiasis</w:t>
      </w:r>
      <w:r>
        <w:t xml:space="preserve"> i</w:t>
      </w:r>
      <w:r w:rsidRPr="00A52BC7">
        <w:t>nclude abdominal pain and diarrhea, rash, pulmonary symptoms (including cough and wheezing), and eosinophilia</w:t>
      </w:r>
      <w:r w:rsidR="0026059A">
        <w:t>, as the worms pass through the lungs</w:t>
      </w:r>
      <w:r w:rsidRPr="00A52BC7">
        <w:t xml:space="preserve">. </w:t>
      </w:r>
      <w:r w:rsidR="00A15D0F">
        <w:t>Th</w:t>
      </w:r>
      <w:r w:rsidR="0026059A">
        <w:t xml:space="preserve">is </w:t>
      </w:r>
      <w:r w:rsidR="00A15D0F" w:rsidRPr="00A15D0F">
        <w:t xml:space="preserve">parasite </w:t>
      </w:r>
      <w:r w:rsidR="00A15D0F">
        <w:t>i</w:t>
      </w:r>
      <w:r w:rsidR="00A15D0F" w:rsidRPr="00A15D0F">
        <w:t>s not sensitive to albendazole or mebendazole</w:t>
      </w:r>
      <w:r w:rsidR="00A15D0F">
        <w:t xml:space="preserve"> but is sensitive to ivermectin. </w:t>
      </w:r>
    </w:p>
    <w:p w14:paraId="702549F8" w14:textId="6524C24B" w:rsidR="00A52BC7" w:rsidRDefault="00A52BC7" w:rsidP="002F0040">
      <w:r>
        <w:lastRenderedPageBreak/>
        <w:t xml:space="preserve">A unique form of cutaneous larva </w:t>
      </w:r>
      <w:proofErr w:type="spellStart"/>
      <w:r>
        <w:t>migrans</w:t>
      </w:r>
      <w:proofErr w:type="spellEnd"/>
      <w:r>
        <w:t xml:space="preserve"> is specific to strongyloidiasis</w:t>
      </w:r>
      <w:r w:rsidR="0026059A">
        <w:t xml:space="preserve">, </w:t>
      </w:r>
      <w:r w:rsidRPr="003E4C48">
        <w:rPr>
          <w:i/>
          <w:iCs/>
        </w:rPr>
        <w:t xml:space="preserve">Larva </w:t>
      </w:r>
      <w:proofErr w:type="spellStart"/>
      <w:r w:rsidRPr="003E4C48">
        <w:rPr>
          <w:i/>
          <w:iCs/>
        </w:rPr>
        <w:t>currens</w:t>
      </w:r>
      <w:proofErr w:type="spellEnd"/>
      <w:r w:rsidR="0026059A">
        <w:t>. I</w:t>
      </w:r>
      <w:r w:rsidRPr="00A52BC7">
        <w:t>t results from autoinfection. The eruption usually begins in the perianal region and is accompanied by intense pruritus</w:t>
      </w:r>
      <w:r w:rsidR="006751E5">
        <w:t xml:space="preserve"> (severe itching of the skin)</w:t>
      </w:r>
      <w:r w:rsidRPr="00A52BC7">
        <w:t xml:space="preserve">. </w:t>
      </w:r>
      <w:r w:rsidR="0026059A">
        <w:t>Typically, it causes erythematous</w:t>
      </w:r>
      <w:r w:rsidR="003E4C48">
        <w:t xml:space="preserve"> </w:t>
      </w:r>
      <w:r w:rsidR="006751E5">
        <w:t>(red</w:t>
      </w:r>
      <w:r w:rsidR="003E4C48">
        <w:t>d</w:t>
      </w:r>
      <w:r w:rsidR="006751E5">
        <w:t>ening of the skin)</w:t>
      </w:r>
      <w:r w:rsidR="0026059A">
        <w:t xml:space="preserve">, urticarial skin lesions that are </w:t>
      </w:r>
      <w:r w:rsidRPr="00A52BC7">
        <w:t xml:space="preserve">linear or serpiginous, </w:t>
      </w:r>
      <w:r w:rsidR="0026059A">
        <w:t xml:space="preserve">in which the worms </w:t>
      </w:r>
      <w:r w:rsidRPr="00A52BC7">
        <w:t>rapidly migrat</w:t>
      </w:r>
      <w:r w:rsidR="0026059A">
        <w:t xml:space="preserve">e </w:t>
      </w:r>
      <w:r w:rsidRPr="00A52BC7">
        <w:t>(up to 10 cm/hour)</w:t>
      </w:r>
      <w:r w:rsidR="0026059A">
        <w:t xml:space="preserve"> within the skin</w:t>
      </w:r>
      <w:r w:rsidRPr="00A52BC7">
        <w:t>.</w:t>
      </w:r>
      <w:r w:rsidR="006751E5" w:rsidRPr="006751E5">
        <w:t xml:space="preserve"> </w:t>
      </w:r>
      <w:r w:rsidR="006751E5">
        <w:t>There are currently no vaccines.</w:t>
      </w:r>
    </w:p>
    <w:p w14:paraId="4C82E64A" w14:textId="1A7D970A" w:rsidR="00540927" w:rsidRDefault="00540927" w:rsidP="002F0040"/>
    <w:p w14:paraId="4DAF154E" w14:textId="7BE24BEA" w:rsidR="00540927" w:rsidRPr="002758CC" w:rsidRDefault="00540927" w:rsidP="00FD4769">
      <w:pPr>
        <w:pStyle w:val="Heading3"/>
      </w:pPr>
      <w:r w:rsidRPr="002758CC">
        <w:rPr>
          <w:highlight w:val="yellow"/>
        </w:rPr>
        <w:t>Lassa fever</w:t>
      </w:r>
    </w:p>
    <w:p w14:paraId="50D136A3" w14:textId="77777777" w:rsidR="00540927" w:rsidRPr="00540927" w:rsidRDefault="00540927" w:rsidP="002F0040">
      <w:pPr>
        <w:rPr>
          <w:highlight w:val="yellow"/>
        </w:rPr>
      </w:pPr>
    </w:p>
    <w:p w14:paraId="5F1809E9" w14:textId="4554314B" w:rsidR="00540927" w:rsidRPr="008C71A1" w:rsidRDefault="00EE2EE8" w:rsidP="00EE2EE8">
      <w:r>
        <w:t xml:space="preserve">Lassa fever is an acute viral hemorrhagic illness caused by Lassa virus, a member of the </w:t>
      </w:r>
      <w:r w:rsidRPr="003233E4">
        <w:rPr>
          <w:i/>
          <w:iCs/>
        </w:rPr>
        <w:t>Arenavirus</w:t>
      </w:r>
      <w:r>
        <w:t xml:space="preserve"> family of viruses. Humans usually become infected with Lassa virus through exposure to food or household items contaminated with urine or feces of infected </w:t>
      </w:r>
      <w:proofErr w:type="spellStart"/>
      <w:r w:rsidRPr="003233E4">
        <w:rPr>
          <w:i/>
          <w:iCs/>
        </w:rPr>
        <w:t>Mastomys</w:t>
      </w:r>
      <w:proofErr w:type="spellEnd"/>
      <w:r>
        <w:t xml:space="preserve"> mice or rats. </w:t>
      </w:r>
      <w:r w:rsidRPr="00EE2EE8">
        <w:t xml:space="preserve">The disease is endemic in the rodent population in parts of </w:t>
      </w:r>
      <w:r w:rsidRPr="003233E4">
        <w:rPr>
          <w:highlight w:val="yellow"/>
        </w:rPr>
        <w:t>West Africa</w:t>
      </w:r>
      <w:r w:rsidRPr="00EE2EE8">
        <w:t xml:space="preserve">. </w:t>
      </w:r>
      <w:r w:rsidR="00540927" w:rsidRPr="001575BC">
        <w:t>The potential health risk to U.S. personnel is Low year-round (peak transmission period is January through April). Multimammate mice (</w:t>
      </w:r>
      <w:proofErr w:type="spellStart"/>
      <w:r w:rsidR="00540927" w:rsidRPr="001575BC">
        <w:rPr>
          <w:i/>
        </w:rPr>
        <w:t>Mastomys</w:t>
      </w:r>
      <w:proofErr w:type="spellEnd"/>
      <w:r w:rsidR="00540927" w:rsidRPr="001575BC">
        <w:rPr>
          <w:i/>
        </w:rPr>
        <w:t xml:space="preserve"> </w:t>
      </w:r>
      <w:proofErr w:type="spellStart"/>
      <w:r w:rsidR="00540927" w:rsidRPr="001575BC">
        <w:rPr>
          <w:i/>
        </w:rPr>
        <w:t>natalensis</w:t>
      </w:r>
      <w:proofErr w:type="spellEnd"/>
      <w:r w:rsidR="00540927" w:rsidRPr="001575BC">
        <w:t xml:space="preserve">) are the </w:t>
      </w:r>
      <w:r>
        <w:t xml:space="preserve">main </w:t>
      </w:r>
      <w:r w:rsidR="00540927" w:rsidRPr="001575BC">
        <w:t xml:space="preserve">reservoir for Lassa </w:t>
      </w:r>
      <w:r w:rsidR="004212C1" w:rsidRPr="001575BC">
        <w:t>fever and</w:t>
      </w:r>
      <w:r w:rsidR="00540927" w:rsidRPr="001575BC">
        <w:t xml:space="preserve"> shed the virus in urine and feces. Lassa fever is transmitted primarily by inhalation of aerosols containing infected rodent urine or feces, although it can also be transmitted by consuming food or water contaminated with rodent urine or feces. </w:t>
      </w:r>
      <w:r>
        <w:t>M</w:t>
      </w:r>
      <w:r w:rsidR="00540927" w:rsidRPr="001575BC">
        <w:t xml:space="preserve">ost infections are asymptomatic </w:t>
      </w:r>
      <w:r>
        <w:t>or self-limited mild illness (80%). About 20% result in severe disease</w:t>
      </w:r>
      <w:r w:rsidR="00260838">
        <w:t>,</w:t>
      </w:r>
      <w:r>
        <w:t xml:space="preserve"> where the virus affects the liver, spleen</w:t>
      </w:r>
      <w:r w:rsidR="003233E4">
        <w:t>,</w:t>
      </w:r>
      <w:r>
        <w:t xml:space="preserve"> and kidneys. </w:t>
      </w:r>
      <w:r w:rsidR="00442843">
        <w:t>In fatal cases, d</w:t>
      </w:r>
      <w:r w:rsidR="00442843" w:rsidRPr="00442843">
        <w:t xml:space="preserve">eath usually occurs within 14 days. </w:t>
      </w:r>
      <w:r>
        <w:t>The overall fatality rate is 1%.</w:t>
      </w:r>
      <w:r w:rsidRPr="00EE2EE8">
        <w:t xml:space="preserve"> </w:t>
      </w:r>
      <w:r w:rsidRPr="003233E4">
        <w:rPr>
          <w:highlight w:val="yellow"/>
        </w:rPr>
        <w:t>Lassa fever is known to be endemic in Benin, Ghana, Guinea, Liberia, Mali, Sierra Leone, Togo</w:t>
      </w:r>
      <w:r w:rsidR="003233E4">
        <w:rPr>
          <w:highlight w:val="yellow"/>
        </w:rPr>
        <w:t>,</w:t>
      </w:r>
      <w:r w:rsidRPr="003233E4">
        <w:rPr>
          <w:highlight w:val="yellow"/>
        </w:rPr>
        <w:t xml:space="preserve"> and Nigeria, but probably exists in other West African countries</w:t>
      </w:r>
      <w:r w:rsidRPr="00EE2EE8">
        <w:t xml:space="preserve"> as well. Person-to-person infections and laboratory transmission can also occur, particularly in healthcare settings in the absence of adequate infection prevention and control measures. </w:t>
      </w:r>
      <w:r>
        <w:t>Th</w:t>
      </w:r>
      <w:r w:rsidRPr="00EE2EE8">
        <w:t>ere is currently no licensed vaccine for Lassa fever</w:t>
      </w:r>
      <w:r w:rsidR="000327A3">
        <w:t xml:space="preserve"> nor</w:t>
      </w:r>
      <w:r>
        <w:t xml:space="preserve"> specific antiviral treatments.</w:t>
      </w:r>
      <w:r w:rsidR="00442843" w:rsidRPr="00442843">
        <w:t xml:space="preserve"> Prevention of Lassa fever relies on promoting good community hygiene to discourage rodents from entering homes</w:t>
      </w:r>
      <w:r w:rsidR="00442843">
        <w:t xml:space="preserve">, and </w:t>
      </w:r>
      <w:r w:rsidR="00442843" w:rsidRPr="00442843">
        <w:t>storing foodstuffs in rodent-proof containers, disposing of garbage far from the home, maintaining clean households</w:t>
      </w:r>
      <w:r w:rsidR="00436A1E">
        <w:t>,</w:t>
      </w:r>
      <w:r w:rsidR="00442843" w:rsidRPr="00442843">
        <w:t xml:space="preserve"> and keeping cats.</w:t>
      </w:r>
      <w:r w:rsidR="00442843">
        <w:t xml:space="preserve"> </w:t>
      </w:r>
    </w:p>
    <w:p w14:paraId="13589908" w14:textId="272C5F7D" w:rsidR="006A0776" w:rsidRDefault="006A0776" w:rsidP="002F0040"/>
    <w:p w14:paraId="673C2C90" w14:textId="27E61579" w:rsidR="00AA1977" w:rsidRPr="00F83550" w:rsidRDefault="00AA1977" w:rsidP="0010791E">
      <w:pPr>
        <w:pStyle w:val="Heading1"/>
      </w:pPr>
      <w:r w:rsidRPr="00F83550">
        <w:t>Venomous Animal</w:t>
      </w:r>
      <w:r>
        <w:t>s</w:t>
      </w:r>
    </w:p>
    <w:p w14:paraId="1E1C1F42" w14:textId="77777777" w:rsidR="00FB2252" w:rsidRPr="00F83550" w:rsidRDefault="00FB2252" w:rsidP="002F0040"/>
    <w:p w14:paraId="37E7F3B4" w14:textId="61132D4E" w:rsidR="003D7C7D" w:rsidRPr="002F2E05" w:rsidRDefault="003D7C7D" w:rsidP="002F0040">
      <w:r w:rsidRPr="002F2E05">
        <w:t xml:space="preserve">All information was taken directly from </w:t>
      </w:r>
      <w:r w:rsidR="0092399A" w:rsidRPr="002F2E05">
        <w:t xml:space="preserve">the </w:t>
      </w:r>
      <w:commentRangeStart w:id="75"/>
      <w:r w:rsidRPr="002F2E05">
        <w:t xml:space="preserve">Clinical </w:t>
      </w:r>
      <w:proofErr w:type="spellStart"/>
      <w:r w:rsidRPr="002F2E05">
        <w:t>Toxi</w:t>
      </w:r>
      <w:r w:rsidR="00C61958" w:rsidRPr="002F2E05">
        <w:t>n</w:t>
      </w:r>
      <w:r w:rsidR="00457155">
        <w:t>ology</w:t>
      </w:r>
      <w:proofErr w:type="spellEnd"/>
      <w:r w:rsidR="00457155">
        <w:t xml:space="preserve"> Resources web</w:t>
      </w:r>
      <w:r w:rsidRPr="002F2E05">
        <w:t xml:space="preserve">site </w:t>
      </w:r>
      <w:commentRangeEnd w:id="75"/>
      <w:r w:rsidR="00822536">
        <w:rPr>
          <w:rStyle w:val="CommentReference"/>
        </w:rPr>
        <w:commentReference w:id="75"/>
      </w:r>
      <w:r w:rsidRPr="002F2E05">
        <w:t>from the University of Adelaide, Australia</w:t>
      </w:r>
      <w:r w:rsidR="0092399A" w:rsidRPr="002F2E05">
        <w:t xml:space="preserve"> (</w:t>
      </w:r>
      <w:r w:rsidR="00AB2155" w:rsidRPr="00B96600">
        <w:t>Reference</w:t>
      </w:r>
      <w:r w:rsidR="00AB2155" w:rsidRPr="009C46AA">
        <w:rPr>
          <w:highlight w:val="yellow"/>
        </w:rPr>
        <w:t xml:space="preserve"> </w:t>
      </w:r>
      <w:r w:rsidR="009C46AA" w:rsidRPr="009C46AA">
        <w:rPr>
          <w:highlight w:val="yellow"/>
        </w:rPr>
        <w:t>XX</w:t>
      </w:r>
      <w:r w:rsidRPr="002F2E05">
        <w:t>)</w:t>
      </w:r>
      <w:r w:rsidR="002C6D14" w:rsidRPr="002F2E05">
        <w:t xml:space="preserve">. </w:t>
      </w:r>
      <w:r w:rsidRPr="002F2E05">
        <w:t xml:space="preserve">The species listed below have home ranges that overlap the location of </w:t>
      </w:r>
      <w:r w:rsidR="004212C1" w:rsidRPr="00BE1E9D">
        <w:rPr>
          <w:highlight w:val="green"/>
        </w:rPr>
        <w:t>Camp XXX</w:t>
      </w:r>
      <w:r w:rsidR="004212C1" w:rsidRPr="002F2E05">
        <w:t xml:space="preserve"> and</w:t>
      </w:r>
      <w:r w:rsidRPr="002F2E05">
        <w:t xml:space="preserve"> present</w:t>
      </w:r>
      <w:r w:rsidR="00026DDD">
        <w:t>ed</w:t>
      </w:r>
      <w:r w:rsidRPr="002F2E05">
        <w:t xml:space="preserve"> a health risk if they </w:t>
      </w:r>
      <w:r w:rsidR="00026DDD">
        <w:t>were</w:t>
      </w:r>
      <w:r w:rsidR="00026DDD" w:rsidRPr="002F2E05">
        <w:t xml:space="preserve"> </w:t>
      </w:r>
      <w:r w:rsidRPr="002F2E05">
        <w:t>encountered by personnel</w:t>
      </w:r>
      <w:r w:rsidR="002C6D14" w:rsidRPr="002F2E05">
        <w:t xml:space="preserve">. </w:t>
      </w:r>
      <w:r w:rsidRPr="002F2E05">
        <w:t xml:space="preserve">See Section </w:t>
      </w:r>
      <w:r w:rsidR="00FE1639">
        <w:t>10</w:t>
      </w:r>
      <w:r w:rsidRPr="002F2E05">
        <w:t xml:space="preserve"> for more information about pesticides and pest control measures.</w:t>
      </w:r>
    </w:p>
    <w:p w14:paraId="587D1A3A" w14:textId="77777777" w:rsidR="00CD4E0A" w:rsidRPr="002F2E05" w:rsidRDefault="00CD4E0A" w:rsidP="002F0040"/>
    <w:p w14:paraId="6570B432" w14:textId="071C1F3D" w:rsidR="00F063D8" w:rsidRPr="00822536" w:rsidRDefault="00CD4E0A" w:rsidP="002F0040">
      <w:pPr>
        <w:pStyle w:val="Heading2"/>
      </w:pPr>
      <w:r w:rsidRPr="000D4358">
        <w:t>Spiders</w:t>
      </w:r>
    </w:p>
    <w:p w14:paraId="07FFD96E" w14:textId="47DA45E0" w:rsidR="00D1043F" w:rsidRPr="00822536" w:rsidRDefault="00D1043F" w:rsidP="00822536">
      <w:pPr>
        <w:pStyle w:val="pf0"/>
        <w:rPr>
          <w:rFonts w:ascii="Arial" w:hAnsi="Arial" w:cs="Arial"/>
          <w:b/>
          <w:bCs/>
          <w:color w:val="0070C0"/>
        </w:rPr>
      </w:pPr>
      <w:r w:rsidRPr="00822536">
        <w:rPr>
          <w:rFonts w:ascii="Arial" w:hAnsi="Arial" w:cs="Arial"/>
          <w:b/>
          <w:bCs/>
          <w:color w:val="0070C0"/>
        </w:rPr>
        <w:t>[</w:t>
      </w:r>
      <w:r w:rsidR="00822536" w:rsidRPr="00822536">
        <w:rPr>
          <w:rStyle w:val="cf01"/>
          <w:rFonts w:ascii="Arial" w:hAnsi="Arial" w:cs="Arial"/>
          <w:b/>
          <w:bCs/>
          <w:color w:val="0070C0"/>
          <w:sz w:val="24"/>
          <w:szCs w:val="24"/>
        </w:rPr>
        <w:t>Crea</w:t>
      </w:r>
      <w:r w:rsidR="00822536">
        <w:rPr>
          <w:rStyle w:val="cf01"/>
          <w:rFonts w:ascii="Arial" w:hAnsi="Arial" w:cs="Arial"/>
          <w:b/>
          <w:bCs/>
          <w:color w:val="0070C0"/>
          <w:sz w:val="24"/>
          <w:szCs w:val="24"/>
        </w:rPr>
        <w:t>t</w:t>
      </w:r>
      <w:r w:rsidR="00822536" w:rsidRPr="00822536">
        <w:rPr>
          <w:rStyle w:val="cf01"/>
          <w:rFonts w:ascii="Arial" w:hAnsi="Arial" w:cs="Arial"/>
          <w:b/>
          <w:bCs/>
          <w:color w:val="0070C0"/>
          <w:sz w:val="24"/>
          <w:szCs w:val="24"/>
        </w:rPr>
        <w:t>e a country-specific summary list of spiders and their scientific names (when available). Where possible, narrow the list down to the regional list.</w:t>
      </w:r>
      <w:r w:rsidR="00822536">
        <w:rPr>
          <w:rStyle w:val="cf01"/>
          <w:rFonts w:ascii="Arial" w:hAnsi="Arial" w:cs="Arial"/>
          <w:b/>
          <w:bCs/>
          <w:color w:val="0070C0"/>
          <w:sz w:val="24"/>
          <w:szCs w:val="24"/>
        </w:rPr>
        <w:t>]</w:t>
      </w:r>
    </w:p>
    <w:p w14:paraId="50DA84D5" w14:textId="2191BDCE" w:rsidR="0070282C" w:rsidRPr="00D14687" w:rsidRDefault="00B319AB" w:rsidP="002F0040">
      <w:pPr>
        <w:rPr>
          <w:highlight w:val="yellow"/>
        </w:rPr>
      </w:pPr>
      <w:r>
        <w:rPr>
          <w:iCs/>
          <w:highlight w:val="yellow"/>
        </w:rPr>
        <w:t>In Afghanistan</w:t>
      </w:r>
      <w:r w:rsidR="00816668">
        <w:rPr>
          <w:iCs/>
          <w:highlight w:val="yellow"/>
        </w:rPr>
        <w:t>,</w:t>
      </w:r>
      <w:r>
        <w:rPr>
          <w:iCs/>
          <w:highlight w:val="yellow"/>
        </w:rPr>
        <w:t xml:space="preserve"> there are two known spiders of medical relevance. The</w:t>
      </w:r>
      <w:r w:rsidR="00816668">
        <w:rPr>
          <w:iCs/>
          <w:highlight w:val="yellow"/>
        </w:rPr>
        <w:t>y</w:t>
      </w:r>
      <w:r>
        <w:rPr>
          <w:iCs/>
          <w:highlight w:val="yellow"/>
        </w:rPr>
        <w:t xml:space="preserve"> are </w:t>
      </w:r>
      <w:r w:rsidR="0070282C" w:rsidRPr="00D14687">
        <w:rPr>
          <w:i/>
          <w:highlight w:val="yellow"/>
        </w:rPr>
        <w:t xml:space="preserve">Latrodectus </w:t>
      </w:r>
      <w:proofErr w:type="spellStart"/>
      <w:r w:rsidR="0070282C" w:rsidRPr="00D14687">
        <w:rPr>
          <w:i/>
          <w:highlight w:val="yellow"/>
        </w:rPr>
        <w:t>tredecimguttatus</w:t>
      </w:r>
      <w:proofErr w:type="spellEnd"/>
      <w:r>
        <w:rPr>
          <w:i/>
          <w:highlight w:val="yellow"/>
        </w:rPr>
        <w:t xml:space="preserve"> and </w:t>
      </w:r>
      <w:r w:rsidR="0070282C" w:rsidRPr="00D14687">
        <w:rPr>
          <w:i/>
          <w:highlight w:val="yellow"/>
        </w:rPr>
        <w:t>Latrodectus pallidus</w:t>
      </w:r>
      <w:r w:rsidR="0070282C" w:rsidRPr="00D14687">
        <w:rPr>
          <w:highlight w:val="yellow"/>
        </w:rPr>
        <w:t>.</w:t>
      </w:r>
    </w:p>
    <w:p w14:paraId="20E475DE" w14:textId="77777777" w:rsidR="0073384D" w:rsidRPr="00D14687" w:rsidRDefault="0073384D" w:rsidP="002F0040">
      <w:pPr>
        <w:rPr>
          <w:highlight w:val="yellow"/>
        </w:rPr>
      </w:pPr>
    </w:p>
    <w:p w14:paraId="1A018803" w14:textId="548D74BC" w:rsidR="00CD1AB8" w:rsidRPr="00822536" w:rsidRDefault="00CD4E0A" w:rsidP="002F0040">
      <w:pPr>
        <w:pStyle w:val="Heading2"/>
        <w:rPr>
          <w:highlight w:val="yellow"/>
        </w:rPr>
      </w:pPr>
      <w:r w:rsidRPr="000D4358">
        <w:t xml:space="preserve">Scorpions </w:t>
      </w:r>
    </w:p>
    <w:p w14:paraId="7C8B6393" w14:textId="2913BF2F" w:rsidR="00822536" w:rsidRPr="00822536" w:rsidRDefault="00822536" w:rsidP="00822536">
      <w:pPr>
        <w:pStyle w:val="pf0"/>
        <w:rPr>
          <w:rFonts w:ascii="Arial" w:hAnsi="Arial" w:cs="Arial"/>
          <w:b/>
          <w:bCs/>
          <w:color w:val="0070C0"/>
        </w:rPr>
      </w:pPr>
      <w:r w:rsidRPr="00822536">
        <w:rPr>
          <w:rFonts w:ascii="Arial" w:hAnsi="Arial" w:cs="Arial"/>
          <w:b/>
          <w:bCs/>
          <w:color w:val="0070C0"/>
        </w:rPr>
        <w:t>[</w:t>
      </w:r>
      <w:r w:rsidRPr="00822536">
        <w:rPr>
          <w:rStyle w:val="cf01"/>
          <w:rFonts w:ascii="Arial" w:hAnsi="Arial" w:cs="Arial"/>
          <w:b/>
          <w:bCs/>
          <w:color w:val="0070C0"/>
          <w:sz w:val="24"/>
          <w:szCs w:val="24"/>
        </w:rPr>
        <w:t>Crea</w:t>
      </w:r>
      <w:r>
        <w:rPr>
          <w:rStyle w:val="cf01"/>
          <w:rFonts w:ascii="Arial" w:hAnsi="Arial" w:cs="Arial"/>
          <w:b/>
          <w:bCs/>
          <w:color w:val="0070C0"/>
          <w:sz w:val="24"/>
          <w:szCs w:val="24"/>
        </w:rPr>
        <w:t>t</w:t>
      </w:r>
      <w:r w:rsidRPr="00822536">
        <w:rPr>
          <w:rStyle w:val="cf01"/>
          <w:rFonts w:ascii="Arial" w:hAnsi="Arial" w:cs="Arial"/>
          <w:b/>
          <w:bCs/>
          <w:color w:val="0070C0"/>
          <w:sz w:val="24"/>
          <w:szCs w:val="24"/>
        </w:rPr>
        <w:t>e a country-specific summary list of s</w:t>
      </w:r>
      <w:r>
        <w:rPr>
          <w:rStyle w:val="cf01"/>
          <w:rFonts w:ascii="Arial" w:hAnsi="Arial" w:cs="Arial"/>
          <w:b/>
          <w:bCs/>
          <w:color w:val="0070C0"/>
          <w:sz w:val="24"/>
          <w:szCs w:val="24"/>
        </w:rPr>
        <w:t>corpion</w:t>
      </w:r>
      <w:r w:rsidRPr="00822536">
        <w:rPr>
          <w:rStyle w:val="cf01"/>
          <w:rFonts w:ascii="Arial" w:hAnsi="Arial" w:cs="Arial"/>
          <w:b/>
          <w:bCs/>
          <w:color w:val="0070C0"/>
          <w:sz w:val="24"/>
          <w:szCs w:val="24"/>
        </w:rPr>
        <w:t>s and their scientific names (when available). Where possible, narrow the list down to the regional list.</w:t>
      </w:r>
      <w:r>
        <w:rPr>
          <w:rStyle w:val="cf01"/>
          <w:rFonts w:ascii="Arial" w:hAnsi="Arial" w:cs="Arial"/>
          <w:b/>
          <w:bCs/>
          <w:color w:val="0070C0"/>
          <w:sz w:val="24"/>
          <w:szCs w:val="24"/>
        </w:rPr>
        <w:t>]</w:t>
      </w:r>
    </w:p>
    <w:p w14:paraId="41B34A3B" w14:textId="1710CC49" w:rsidR="003F2B35" w:rsidRPr="00D14687" w:rsidRDefault="00B319AB" w:rsidP="003F2B35">
      <w:pPr>
        <w:rPr>
          <w:highlight w:val="yellow"/>
        </w:rPr>
      </w:pPr>
      <w:r>
        <w:rPr>
          <w:iCs/>
          <w:highlight w:val="yellow"/>
        </w:rPr>
        <w:lastRenderedPageBreak/>
        <w:t>In Afghanistan</w:t>
      </w:r>
      <w:r w:rsidR="008B501C">
        <w:rPr>
          <w:iCs/>
          <w:highlight w:val="yellow"/>
        </w:rPr>
        <w:t>,</w:t>
      </w:r>
      <w:r>
        <w:rPr>
          <w:iCs/>
          <w:highlight w:val="yellow"/>
        </w:rPr>
        <w:t xml:space="preserve"> there are eight scorpions that can cause moderate-to-lethal envenomation: </w:t>
      </w:r>
      <w:proofErr w:type="spellStart"/>
      <w:r w:rsidR="0070282C" w:rsidRPr="00D14687">
        <w:rPr>
          <w:i/>
          <w:highlight w:val="yellow"/>
        </w:rPr>
        <w:t>Androctonus</w:t>
      </w:r>
      <w:proofErr w:type="spellEnd"/>
      <w:r w:rsidR="0070282C" w:rsidRPr="00D14687">
        <w:rPr>
          <w:i/>
          <w:highlight w:val="yellow"/>
        </w:rPr>
        <w:t xml:space="preserve"> </w:t>
      </w:r>
      <w:proofErr w:type="spellStart"/>
      <w:r w:rsidR="0070282C" w:rsidRPr="00D14687">
        <w:rPr>
          <w:i/>
          <w:highlight w:val="yellow"/>
        </w:rPr>
        <w:t>crassicauda</w:t>
      </w:r>
      <w:proofErr w:type="spellEnd"/>
      <w:r w:rsidR="0070282C" w:rsidRPr="00D14687">
        <w:rPr>
          <w:i/>
          <w:highlight w:val="yellow"/>
        </w:rPr>
        <w:t xml:space="preserve"> (black scorpion), </w:t>
      </w:r>
      <w:proofErr w:type="spellStart"/>
      <w:r w:rsidR="0070282C" w:rsidRPr="00D14687">
        <w:rPr>
          <w:i/>
          <w:highlight w:val="yellow"/>
        </w:rPr>
        <w:t>Androctonus</w:t>
      </w:r>
      <w:proofErr w:type="spellEnd"/>
      <w:r w:rsidR="0070282C" w:rsidRPr="00D14687">
        <w:rPr>
          <w:i/>
          <w:highlight w:val="yellow"/>
        </w:rPr>
        <w:t xml:space="preserve"> </w:t>
      </w:r>
      <w:proofErr w:type="spellStart"/>
      <w:r w:rsidR="0070282C" w:rsidRPr="00D14687">
        <w:rPr>
          <w:i/>
          <w:highlight w:val="yellow"/>
        </w:rPr>
        <w:t>amoreuxi</w:t>
      </w:r>
      <w:proofErr w:type="spellEnd"/>
      <w:r w:rsidR="0070282C" w:rsidRPr="00D14687">
        <w:rPr>
          <w:i/>
          <w:highlight w:val="yellow"/>
        </w:rPr>
        <w:t>,</w:t>
      </w:r>
      <w:r w:rsidR="0070282C" w:rsidRPr="00D14687">
        <w:rPr>
          <w:highlight w:val="yellow"/>
        </w:rPr>
        <w:t xml:space="preserve"> </w:t>
      </w:r>
      <w:proofErr w:type="spellStart"/>
      <w:r w:rsidRPr="004212C1">
        <w:rPr>
          <w:i/>
          <w:iCs/>
          <w:highlight w:val="yellow"/>
        </w:rPr>
        <w:t>Hottentotta</w:t>
      </w:r>
      <w:proofErr w:type="spellEnd"/>
      <w:r w:rsidRPr="004212C1">
        <w:rPr>
          <w:i/>
          <w:iCs/>
          <w:highlight w:val="yellow"/>
        </w:rPr>
        <w:t xml:space="preserve"> </w:t>
      </w:r>
      <w:proofErr w:type="spellStart"/>
      <w:r w:rsidRPr="004212C1">
        <w:rPr>
          <w:i/>
          <w:iCs/>
          <w:highlight w:val="yellow"/>
        </w:rPr>
        <w:t>judaicus</w:t>
      </w:r>
      <w:proofErr w:type="spellEnd"/>
      <w:r w:rsidRPr="004212C1">
        <w:rPr>
          <w:i/>
          <w:iCs/>
          <w:highlight w:val="yellow"/>
        </w:rPr>
        <w:t xml:space="preserve">, </w:t>
      </w:r>
      <w:proofErr w:type="spellStart"/>
      <w:r w:rsidRPr="004212C1">
        <w:rPr>
          <w:i/>
          <w:iCs/>
          <w:highlight w:val="yellow"/>
        </w:rPr>
        <w:t>Hottentotta</w:t>
      </w:r>
      <w:proofErr w:type="spellEnd"/>
      <w:r w:rsidRPr="004212C1">
        <w:rPr>
          <w:i/>
          <w:iCs/>
          <w:highlight w:val="yellow"/>
        </w:rPr>
        <w:t xml:space="preserve"> </w:t>
      </w:r>
      <w:proofErr w:type="spellStart"/>
      <w:r w:rsidRPr="004212C1">
        <w:rPr>
          <w:i/>
          <w:iCs/>
          <w:highlight w:val="yellow"/>
        </w:rPr>
        <w:t>saulcyi</w:t>
      </w:r>
      <w:proofErr w:type="spellEnd"/>
      <w:r w:rsidRPr="004212C1">
        <w:rPr>
          <w:i/>
          <w:iCs/>
          <w:highlight w:val="yellow"/>
        </w:rPr>
        <w:t xml:space="preserve">, </w:t>
      </w:r>
      <w:proofErr w:type="spellStart"/>
      <w:r w:rsidRPr="004212C1">
        <w:rPr>
          <w:i/>
          <w:iCs/>
          <w:highlight w:val="yellow"/>
        </w:rPr>
        <w:t>Isometrus</w:t>
      </w:r>
      <w:proofErr w:type="spellEnd"/>
      <w:r w:rsidRPr="004212C1">
        <w:rPr>
          <w:i/>
          <w:iCs/>
          <w:highlight w:val="yellow"/>
        </w:rPr>
        <w:t xml:space="preserve"> maculatus</w:t>
      </w:r>
      <w:r w:rsidRPr="00D14687">
        <w:rPr>
          <w:highlight w:val="yellow"/>
        </w:rPr>
        <w:t>,</w:t>
      </w:r>
      <w:r>
        <w:rPr>
          <w:highlight w:val="yellow"/>
        </w:rPr>
        <w:t xml:space="preserve"> </w:t>
      </w:r>
      <w:proofErr w:type="spellStart"/>
      <w:r w:rsidR="0070282C" w:rsidRPr="00D14687">
        <w:rPr>
          <w:i/>
          <w:highlight w:val="yellow"/>
        </w:rPr>
        <w:t>Leiurus</w:t>
      </w:r>
      <w:proofErr w:type="spellEnd"/>
      <w:r w:rsidR="0070282C" w:rsidRPr="00D14687">
        <w:rPr>
          <w:i/>
          <w:highlight w:val="yellow"/>
        </w:rPr>
        <w:t xml:space="preserve"> </w:t>
      </w:r>
      <w:proofErr w:type="spellStart"/>
      <w:r w:rsidR="0070282C" w:rsidRPr="00D14687">
        <w:rPr>
          <w:i/>
          <w:highlight w:val="yellow"/>
        </w:rPr>
        <w:t>quinquestriatus</w:t>
      </w:r>
      <w:proofErr w:type="spellEnd"/>
      <w:r w:rsidR="0070282C" w:rsidRPr="00D14687">
        <w:rPr>
          <w:i/>
          <w:highlight w:val="yellow"/>
        </w:rPr>
        <w:t>,</w:t>
      </w:r>
      <w:r w:rsidR="0070282C" w:rsidRPr="00D14687">
        <w:rPr>
          <w:highlight w:val="yellow"/>
        </w:rPr>
        <w:t xml:space="preserve"> </w:t>
      </w:r>
      <w:r w:rsidR="0070282C" w:rsidRPr="00D14687">
        <w:rPr>
          <w:i/>
          <w:highlight w:val="yellow"/>
        </w:rPr>
        <w:t xml:space="preserve">Nebo </w:t>
      </w:r>
      <w:proofErr w:type="spellStart"/>
      <w:r w:rsidR="0070282C" w:rsidRPr="00D14687">
        <w:rPr>
          <w:i/>
          <w:highlight w:val="yellow"/>
        </w:rPr>
        <w:t>hierichonticus</w:t>
      </w:r>
      <w:proofErr w:type="spellEnd"/>
      <w:r>
        <w:rPr>
          <w:i/>
          <w:highlight w:val="yellow"/>
        </w:rPr>
        <w:t xml:space="preserve">, </w:t>
      </w:r>
      <w:r w:rsidRPr="00D14687">
        <w:rPr>
          <w:highlight w:val="yellow"/>
        </w:rPr>
        <w:t xml:space="preserve">and </w:t>
      </w:r>
      <w:r w:rsidRPr="004212C1">
        <w:rPr>
          <w:i/>
          <w:iCs/>
          <w:highlight w:val="yellow"/>
        </w:rPr>
        <w:t xml:space="preserve">Scorpio </w:t>
      </w:r>
      <w:proofErr w:type="spellStart"/>
      <w:r w:rsidRPr="004212C1">
        <w:rPr>
          <w:i/>
          <w:iCs/>
          <w:highlight w:val="yellow"/>
        </w:rPr>
        <w:t>maurus</w:t>
      </w:r>
      <w:proofErr w:type="spellEnd"/>
      <w:r w:rsidR="0070282C" w:rsidRPr="00D14687">
        <w:rPr>
          <w:highlight w:val="yellow"/>
        </w:rPr>
        <w:t>.</w:t>
      </w:r>
      <w:r>
        <w:rPr>
          <w:highlight w:val="yellow"/>
        </w:rPr>
        <w:t xml:space="preserve"> Thirteen other scorpions are </w:t>
      </w:r>
      <w:r w:rsidR="006B26BD">
        <w:rPr>
          <w:highlight w:val="yellow"/>
        </w:rPr>
        <w:t>present,</w:t>
      </w:r>
      <w:r>
        <w:rPr>
          <w:highlight w:val="yellow"/>
        </w:rPr>
        <w:t xml:space="preserve"> but their potential clinic</w:t>
      </w:r>
      <w:r w:rsidR="005D1E27">
        <w:rPr>
          <w:highlight w:val="yellow"/>
        </w:rPr>
        <w:t>al</w:t>
      </w:r>
      <w:r>
        <w:rPr>
          <w:highlight w:val="yellow"/>
        </w:rPr>
        <w:t xml:space="preserve"> effects are unknown. These are: </w:t>
      </w:r>
      <w:proofErr w:type="spellStart"/>
      <w:r w:rsidR="003F2B35" w:rsidRPr="003668B1">
        <w:rPr>
          <w:i/>
          <w:iCs/>
          <w:highlight w:val="yellow"/>
        </w:rPr>
        <w:t>Birulatus</w:t>
      </w:r>
      <w:proofErr w:type="spellEnd"/>
      <w:r w:rsidR="003F2B35" w:rsidRPr="003668B1">
        <w:rPr>
          <w:i/>
          <w:iCs/>
          <w:highlight w:val="yellow"/>
        </w:rPr>
        <w:t xml:space="preserve"> </w:t>
      </w:r>
      <w:proofErr w:type="spellStart"/>
      <w:r w:rsidR="003F2B35" w:rsidRPr="003668B1">
        <w:rPr>
          <w:i/>
          <w:iCs/>
          <w:highlight w:val="yellow"/>
        </w:rPr>
        <w:t>astartiae</w:t>
      </w:r>
      <w:proofErr w:type="spellEnd"/>
      <w:r w:rsidR="003F2B35" w:rsidRPr="003668B1">
        <w:rPr>
          <w:i/>
          <w:iCs/>
          <w:highlight w:val="yellow"/>
        </w:rPr>
        <w:t xml:space="preserve">, </w:t>
      </w:r>
      <w:proofErr w:type="spellStart"/>
      <w:r w:rsidR="003F2B35" w:rsidRPr="003668B1">
        <w:rPr>
          <w:i/>
          <w:iCs/>
          <w:highlight w:val="yellow"/>
        </w:rPr>
        <w:t>Buthacus</w:t>
      </w:r>
      <w:proofErr w:type="spellEnd"/>
      <w:r w:rsidR="003F2B35" w:rsidRPr="003668B1">
        <w:rPr>
          <w:i/>
          <w:iCs/>
          <w:color w:val="000000"/>
          <w:highlight w:val="yellow"/>
        </w:rPr>
        <w:t xml:space="preserve"> </w:t>
      </w:r>
      <w:proofErr w:type="spellStart"/>
      <w:r w:rsidR="003F2B35" w:rsidRPr="003668B1">
        <w:rPr>
          <w:i/>
          <w:iCs/>
          <w:highlight w:val="yellow"/>
        </w:rPr>
        <w:t>leptochelys</w:t>
      </w:r>
      <w:proofErr w:type="spellEnd"/>
      <w:r w:rsidR="003F2B35" w:rsidRPr="003668B1">
        <w:rPr>
          <w:i/>
          <w:iCs/>
          <w:highlight w:val="yellow"/>
        </w:rPr>
        <w:t xml:space="preserve">, </w:t>
      </w:r>
      <w:proofErr w:type="spellStart"/>
      <w:r w:rsidR="003F2B35" w:rsidRPr="003668B1">
        <w:rPr>
          <w:i/>
          <w:iCs/>
          <w:highlight w:val="yellow"/>
        </w:rPr>
        <w:t>Buthacus</w:t>
      </w:r>
      <w:proofErr w:type="spellEnd"/>
      <w:r w:rsidR="003F2B35" w:rsidRPr="003668B1">
        <w:rPr>
          <w:i/>
          <w:iCs/>
          <w:color w:val="000000"/>
          <w:highlight w:val="yellow"/>
        </w:rPr>
        <w:t xml:space="preserve"> </w:t>
      </w:r>
      <w:proofErr w:type="spellStart"/>
      <w:r w:rsidR="003F2B35" w:rsidRPr="003668B1">
        <w:rPr>
          <w:i/>
          <w:iCs/>
          <w:highlight w:val="yellow"/>
        </w:rPr>
        <w:t>macrocentrus</w:t>
      </w:r>
      <w:proofErr w:type="spellEnd"/>
      <w:r w:rsidR="003F2B35" w:rsidRPr="003668B1">
        <w:rPr>
          <w:i/>
          <w:iCs/>
          <w:highlight w:val="yellow"/>
        </w:rPr>
        <w:t xml:space="preserve">, </w:t>
      </w:r>
      <w:proofErr w:type="spellStart"/>
      <w:r w:rsidR="003F2B35" w:rsidRPr="003668B1">
        <w:rPr>
          <w:i/>
          <w:iCs/>
          <w:highlight w:val="yellow"/>
        </w:rPr>
        <w:t>Buthacus</w:t>
      </w:r>
      <w:proofErr w:type="spellEnd"/>
      <w:r w:rsidR="003F2B35" w:rsidRPr="003668B1">
        <w:rPr>
          <w:i/>
          <w:iCs/>
          <w:highlight w:val="yellow"/>
        </w:rPr>
        <w:t xml:space="preserve"> </w:t>
      </w:r>
      <w:proofErr w:type="spellStart"/>
      <w:r w:rsidR="003F2B35" w:rsidRPr="003668B1">
        <w:rPr>
          <w:i/>
          <w:iCs/>
          <w:highlight w:val="yellow"/>
        </w:rPr>
        <w:t>tadmorensis</w:t>
      </w:r>
      <w:proofErr w:type="spellEnd"/>
      <w:r w:rsidR="003F2B35" w:rsidRPr="003668B1">
        <w:rPr>
          <w:i/>
          <w:iCs/>
          <w:highlight w:val="yellow"/>
        </w:rPr>
        <w:t xml:space="preserve">, </w:t>
      </w:r>
      <w:proofErr w:type="spellStart"/>
      <w:r w:rsidR="003F2B35" w:rsidRPr="003668B1">
        <w:rPr>
          <w:i/>
          <w:iCs/>
          <w:highlight w:val="yellow"/>
        </w:rPr>
        <w:t>Buthacus</w:t>
      </w:r>
      <w:proofErr w:type="spellEnd"/>
      <w:r w:rsidR="003F2B35" w:rsidRPr="003668B1">
        <w:rPr>
          <w:i/>
          <w:iCs/>
          <w:highlight w:val="yellow"/>
        </w:rPr>
        <w:t xml:space="preserve"> </w:t>
      </w:r>
      <w:proofErr w:type="spellStart"/>
      <w:r w:rsidR="003F2B35" w:rsidRPr="003668B1">
        <w:rPr>
          <w:i/>
          <w:iCs/>
          <w:highlight w:val="yellow"/>
        </w:rPr>
        <w:t>yotvatensis</w:t>
      </w:r>
      <w:proofErr w:type="spellEnd"/>
      <w:r w:rsidR="003F2B35" w:rsidRPr="003668B1">
        <w:rPr>
          <w:i/>
          <w:iCs/>
          <w:highlight w:val="yellow"/>
        </w:rPr>
        <w:t xml:space="preserve">, </w:t>
      </w:r>
      <w:proofErr w:type="spellStart"/>
      <w:r w:rsidR="003F2B35" w:rsidRPr="003668B1">
        <w:rPr>
          <w:i/>
          <w:iCs/>
          <w:highlight w:val="yellow"/>
        </w:rPr>
        <w:t>Compsobuthus</w:t>
      </w:r>
      <w:proofErr w:type="spellEnd"/>
      <w:r w:rsidR="003F2B35" w:rsidRPr="003668B1">
        <w:rPr>
          <w:i/>
          <w:iCs/>
          <w:highlight w:val="yellow"/>
        </w:rPr>
        <w:t xml:space="preserve"> </w:t>
      </w:r>
      <w:proofErr w:type="spellStart"/>
      <w:r w:rsidR="003F2B35" w:rsidRPr="003668B1">
        <w:rPr>
          <w:i/>
          <w:iCs/>
          <w:highlight w:val="yellow"/>
        </w:rPr>
        <w:t>jordanensis</w:t>
      </w:r>
      <w:proofErr w:type="spellEnd"/>
      <w:r w:rsidR="003F2B35" w:rsidRPr="003668B1">
        <w:rPr>
          <w:i/>
          <w:iCs/>
          <w:highlight w:val="yellow"/>
        </w:rPr>
        <w:t xml:space="preserve">, </w:t>
      </w:r>
      <w:proofErr w:type="spellStart"/>
      <w:r w:rsidR="003F2B35" w:rsidRPr="003668B1">
        <w:rPr>
          <w:i/>
          <w:iCs/>
          <w:highlight w:val="yellow"/>
        </w:rPr>
        <w:t>Compsobuthus</w:t>
      </w:r>
      <w:proofErr w:type="spellEnd"/>
      <w:r w:rsidR="003F2B35" w:rsidRPr="003668B1">
        <w:rPr>
          <w:i/>
          <w:iCs/>
          <w:highlight w:val="yellow"/>
        </w:rPr>
        <w:t xml:space="preserve"> </w:t>
      </w:r>
      <w:proofErr w:type="spellStart"/>
      <w:r w:rsidR="003F2B35" w:rsidRPr="003668B1">
        <w:rPr>
          <w:i/>
          <w:iCs/>
          <w:highlight w:val="yellow"/>
        </w:rPr>
        <w:t>matthiesseni</w:t>
      </w:r>
      <w:proofErr w:type="spellEnd"/>
      <w:r w:rsidR="003F2B35" w:rsidRPr="003668B1">
        <w:rPr>
          <w:i/>
          <w:iCs/>
          <w:highlight w:val="yellow"/>
        </w:rPr>
        <w:t xml:space="preserve">, </w:t>
      </w:r>
      <w:proofErr w:type="spellStart"/>
      <w:r w:rsidR="003F2B35" w:rsidRPr="003668B1">
        <w:rPr>
          <w:i/>
          <w:iCs/>
          <w:highlight w:val="yellow"/>
        </w:rPr>
        <w:t>Compsobuthus</w:t>
      </w:r>
      <w:proofErr w:type="spellEnd"/>
      <w:r w:rsidR="003F2B35" w:rsidRPr="003668B1">
        <w:rPr>
          <w:i/>
          <w:iCs/>
          <w:highlight w:val="yellow"/>
        </w:rPr>
        <w:t xml:space="preserve"> </w:t>
      </w:r>
      <w:proofErr w:type="spellStart"/>
      <w:r w:rsidR="003F2B35" w:rsidRPr="003668B1">
        <w:rPr>
          <w:i/>
          <w:iCs/>
          <w:highlight w:val="yellow"/>
        </w:rPr>
        <w:t>werneri</w:t>
      </w:r>
      <w:proofErr w:type="spellEnd"/>
      <w:r w:rsidR="003F2B35" w:rsidRPr="003668B1">
        <w:rPr>
          <w:i/>
          <w:iCs/>
          <w:highlight w:val="yellow"/>
        </w:rPr>
        <w:t xml:space="preserve">, </w:t>
      </w:r>
      <w:proofErr w:type="spellStart"/>
      <w:r w:rsidR="003F2B35" w:rsidRPr="003668B1">
        <w:rPr>
          <w:i/>
          <w:iCs/>
          <w:highlight w:val="yellow"/>
        </w:rPr>
        <w:t>Mesobuthus</w:t>
      </w:r>
      <w:proofErr w:type="spellEnd"/>
      <w:r w:rsidR="003F2B35" w:rsidRPr="003668B1">
        <w:rPr>
          <w:i/>
          <w:iCs/>
          <w:highlight w:val="yellow"/>
        </w:rPr>
        <w:t xml:space="preserve"> </w:t>
      </w:r>
      <w:proofErr w:type="spellStart"/>
      <w:r w:rsidR="003F2B35" w:rsidRPr="003668B1">
        <w:rPr>
          <w:i/>
          <w:iCs/>
          <w:highlight w:val="yellow"/>
        </w:rPr>
        <w:t>caucasicus</w:t>
      </w:r>
      <w:proofErr w:type="spellEnd"/>
      <w:r w:rsidR="003F2B35" w:rsidRPr="003668B1">
        <w:rPr>
          <w:i/>
          <w:iCs/>
          <w:highlight w:val="yellow"/>
        </w:rPr>
        <w:t xml:space="preserve">, </w:t>
      </w:r>
      <w:proofErr w:type="spellStart"/>
      <w:r w:rsidR="003F2B35" w:rsidRPr="003668B1">
        <w:rPr>
          <w:i/>
          <w:iCs/>
          <w:highlight w:val="yellow"/>
        </w:rPr>
        <w:t>Mesobuthus</w:t>
      </w:r>
      <w:proofErr w:type="spellEnd"/>
      <w:r w:rsidR="003F2B35" w:rsidRPr="003668B1">
        <w:rPr>
          <w:i/>
          <w:iCs/>
          <w:highlight w:val="yellow"/>
        </w:rPr>
        <w:t xml:space="preserve"> </w:t>
      </w:r>
      <w:proofErr w:type="spellStart"/>
      <w:r w:rsidR="003F2B35" w:rsidRPr="003668B1">
        <w:rPr>
          <w:i/>
          <w:iCs/>
          <w:highlight w:val="yellow"/>
        </w:rPr>
        <w:t>eupeus</w:t>
      </w:r>
      <w:proofErr w:type="spellEnd"/>
      <w:r w:rsidR="003F2B35" w:rsidRPr="00D14687">
        <w:rPr>
          <w:highlight w:val="yellow"/>
        </w:rPr>
        <w:t xml:space="preserve">, </w:t>
      </w:r>
      <w:proofErr w:type="spellStart"/>
      <w:r w:rsidRPr="003668B1">
        <w:rPr>
          <w:i/>
          <w:iCs/>
          <w:highlight w:val="yellow"/>
        </w:rPr>
        <w:t>Mesobuthus</w:t>
      </w:r>
      <w:proofErr w:type="spellEnd"/>
      <w:r w:rsidRPr="003668B1">
        <w:rPr>
          <w:i/>
          <w:iCs/>
          <w:highlight w:val="yellow"/>
        </w:rPr>
        <w:t xml:space="preserve"> gibbosus</w:t>
      </w:r>
      <w:r>
        <w:rPr>
          <w:i/>
          <w:iCs/>
          <w:highlight w:val="yellow"/>
        </w:rPr>
        <w:t>,</w:t>
      </w:r>
      <w:r w:rsidRPr="00D14687">
        <w:rPr>
          <w:highlight w:val="yellow"/>
        </w:rPr>
        <w:t xml:space="preserve"> </w:t>
      </w:r>
      <w:proofErr w:type="spellStart"/>
      <w:r w:rsidRPr="003668B1">
        <w:rPr>
          <w:i/>
          <w:iCs/>
          <w:highlight w:val="yellow"/>
        </w:rPr>
        <w:t>Mesobuthus</w:t>
      </w:r>
      <w:proofErr w:type="spellEnd"/>
      <w:r w:rsidRPr="003668B1">
        <w:rPr>
          <w:i/>
          <w:iCs/>
          <w:highlight w:val="yellow"/>
        </w:rPr>
        <w:t xml:space="preserve"> </w:t>
      </w:r>
      <w:proofErr w:type="spellStart"/>
      <w:r w:rsidRPr="003668B1">
        <w:rPr>
          <w:i/>
          <w:iCs/>
          <w:highlight w:val="yellow"/>
        </w:rPr>
        <w:t>nigrocinctus</w:t>
      </w:r>
      <w:proofErr w:type="spellEnd"/>
      <w:r>
        <w:rPr>
          <w:i/>
          <w:iCs/>
          <w:highlight w:val="yellow"/>
        </w:rPr>
        <w:t>,</w:t>
      </w:r>
      <w:r w:rsidRPr="00D14687">
        <w:rPr>
          <w:highlight w:val="yellow"/>
        </w:rPr>
        <w:t xml:space="preserve"> </w:t>
      </w:r>
      <w:r w:rsidR="003F2B35" w:rsidRPr="00D14687">
        <w:rPr>
          <w:highlight w:val="yellow"/>
        </w:rPr>
        <w:t xml:space="preserve">and </w:t>
      </w:r>
      <w:proofErr w:type="spellStart"/>
      <w:r w:rsidR="003F2B35" w:rsidRPr="003668B1">
        <w:rPr>
          <w:i/>
          <w:iCs/>
          <w:highlight w:val="yellow"/>
        </w:rPr>
        <w:t>Orthochirus</w:t>
      </w:r>
      <w:proofErr w:type="spellEnd"/>
      <w:r w:rsidR="003F2B35" w:rsidRPr="003668B1">
        <w:rPr>
          <w:i/>
          <w:iCs/>
          <w:color w:val="000000"/>
          <w:highlight w:val="yellow"/>
        </w:rPr>
        <w:t xml:space="preserve"> </w:t>
      </w:r>
      <w:proofErr w:type="spellStart"/>
      <w:r w:rsidR="003F2B35" w:rsidRPr="003668B1">
        <w:rPr>
          <w:i/>
          <w:iCs/>
          <w:highlight w:val="yellow"/>
        </w:rPr>
        <w:t>scrobiculosus</w:t>
      </w:r>
      <w:proofErr w:type="spellEnd"/>
      <w:r w:rsidR="003F2B35" w:rsidRPr="00D14687">
        <w:rPr>
          <w:highlight w:val="yellow"/>
        </w:rPr>
        <w:t>.</w:t>
      </w:r>
    </w:p>
    <w:p w14:paraId="41C7DF5B" w14:textId="77777777" w:rsidR="003F2B35" w:rsidRDefault="003F2B35" w:rsidP="002F0040">
      <w:pPr>
        <w:rPr>
          <w:highlight w:val="yellow"/>
        </w:rPr>
      </w:pPr>
    </w:p>
    <w:p w14:paraId="2A42DEF1" w14:textId="1625AC50" w:rsidR="00CD4E0A" w:rsidRPr="00B16C6D" w:rsidRDefault="00CD4E0A" w:rsidP="00580B36">
      <w:pPr>
        <w:pStyle w:val="Heading2"/>
        <w:rPr>
          <w:highlight w:val="lightGray"/>
        </w:rPr>
      </w:pPr>
      <w:r w:rsidRPr="00B16C6D">
        <w:rPr>
          <w:highlight w:val="lightGray"/>
        </w:rPr>
        <w:t>Snakes</w:t>
      </w:r>
    </w:p>
    <w:p w14:paraId="43ACA616" w14:textId="312643D6" w:rsidR="00822536" w:rsidRPr="00822536" w:rsidRDefault="00822536" w:rsidP="00822536">
      <w:pPr>
        <w:pStyle w:val="pf0"/>
        <w:rPr>
          <w:rFonts w:ascii="Arial" w:hAnsi="Arial" w:cs="Arial"/>
          <w:b/>
          <w:bCs/>
          <w:color w:val="0070C0"/>
        </w:rPr>
      </w:pPr>
      <w:r w:rsidRPr="00822536">
        <w:rPr>
          <w:rFonts w:ascii="Arial" w:hAnsi="Arial" w:cs="Arial"/>
          <w:b/>
          <w:bCs/>
          <w:color w:val="0070C0"/>
        </w:rPr>
        <w:t>[</w:t>
      </w:r>
      <w:r w:rsidRPr="00822536">
        <w:rPr>
          <w:rStyle w:val="cf01"/>
          <w:rFonts w:ascii="Arial" w:hAnsi="Arial" w:cs="Arial"/>
          <w:b/>
          <w:bCs/>
          <w:color w:val="0070C0"/>
          <w:sz w:val="24"/>
          <w:szCs w:val="24"/>
        </w:rPr>
        <w:t>Crea</w:t>
      </w:r>
      <w:r>
        <w:rPr>
          <w:rStyle w:val="cf01"/>
          <w:rFonts w:ascii="Arial" w:hAnsi="Arial" w:cs="Arial"/>
          <w:b/>
          <w:bCs/>
          <w:color w:val="0070C0"/>
          <w:sz w:val="24"/>
          <w:szCs w:val="24"/>
        </w:rPr>
        <w:t>t</w:t>
      </w:r>
      <w:r w:rsidRPr="00822536">
        <w:rPr>
          <w:rStyle w:val="cf01"/>
          <w:rFonts w:ascii="Arial" w:hAnsi="Arial" w:cs="Arial"/>
          <w:b/>
          <w:bCs/>
          <w:color w:val="0070C0"/>
          <w:sz w:val="24"/>
          <w:szCs w:val="24"/>
        </w:rPr>
        <w:t xml:space="preserve">e a country-specific summary list of </w:t>
      </w:r>
      <w:r>
        <w:rPr>
          <w:rStyle w:val="cf01"/>
          <w:rFonts w:ascii="Arial" w:hAnsi="Arial" w:cs="Arial"/>
          <w:b/>
          <w:bCs/>
          <w:color w:val="0070C0"/>
          <w:sz w:val="24"/>
          <w:szCs w:val="24"/>
        </w:rPr>
        <w:t xml:space="preserve">venomous </w:t>
      </w:r>
      <w:r w:rsidRPr="00822536">
        <w:rPr>
          <w:rStyle w:val="cf01"/>
          <w:rFonts w:ascii="Arial" w:hAnsi="Arial" w:cs="Arial"/>
          <w:b/>
          <w:bCs/>
          <w:color w:val="0070C0"/>
          <w:sz w:val="24"/>
          <w:szCs w:val="24"/>
        </w:rPr>
        <w:t>s</w:t>
      </w:r>
      <w:r>
        <w:rPr>
          <w:rStyle w:val="cf01"/>
          <w:rFonts w:ascii="Arial" w:hAnsi="Arial" w:cs="Arial"/>
          <w:b/>
          <w:bCs/>
          <w:color w:val="0070C0"/>
          <w:sz w:val="24"/>
          <w:szCs w:val="24"/>
        </w:rPr>
        <w:t>nake</w:t>
      </w:r>
      <w:r w:rsidRPr="00822536">
        <w:rPr>
          <w:rStyle w:val="cf01"/>
          <w:rFonts w:ascii="Arial" w:hAnsi="Arial" w:cs="Arial"/>
          <w:b/>
          <w:bCs/>
          <w:color w:val="0070C0"/>
          <w:sz w:val="24"/>
          <w:szCs w:val="24"/>
        </w:rPr>
        <w:t>s and their scientific names (when available). Where possible, narrow the list down to the regional list.</w:t>
      </w:r>
      <w:r>
        <w:rPr>
          <w:rStyle w:val="cf01"/>
          <w:rFonts w:ascii="Arial" w:hAnsi="Arial" w:cs="Arial"/>
          <w:b/>
          <w:bCs/>
          <w:color w:val="0070C0"/>
          <w:sz w:val="24"/>
          <w:szCs w:val="24"/>
        </w:rPr>
        <w:t>]</w:t>
      </w:r>
    </w:p>
    <w:p w14:paraId="4F44B029" w14:textId="02B551F0" w:rsidR="00286229" w:rsidRDefault="00286229" w:rsidP="00286229">
      <w:pPr>
        <w:rPr>
          <w:highlight w:val="yellow"/>
        </w:rPr>
      </w:pPr>
      <w:r w:rsidRPr="00286229">
        <w:rPr>
          <w:highlight w:val="yellow"/>
        </w:rPr>
        <w:t>In Afghanistan, there are at least 17 venomous snakes, including: Two Cobras and Kraits [</w:t>
      </w:r>
      <w:proofErr w:type="spellStart"/>
      <w:r w:rsidRPr="00286229">
        <w:rPr>
          <w:highlight w:val="yellow"/>
        </w:rPr>
        <w:t>Naja</w:t>
      </w:r>
      <w:proofErr w:type="spellEnd"/>
      <w:r w:rsidRPr="00286229">
        <w:rPr>
          <w:highlight w:val="yellow"/>
        </w:rPr>
        <w:t xml:space="preserve"> (Indian Cobra), </w:t>
      </w:r>
      <w:proofErr w:type="spellStart"/>
      <w:r w:rsidRPr="00286229">
        <w:rPr>
          <w:highlight w:val="yellow"/>
        </w:rPr>
        <w:t>Naja</w:t>
      </w:r>
      <w:proofErr w:type="spellEnd"/>
      <w:r w:rsidRPr="00286229">
        <w:rPr>
          <w:highlight w:val="yellow"/>
        </w:rPr>
        <w:t xml:space="preserve"> </w:t>
      </w:r>
      <w:proofErr w:type="spellStart"/>
      <w:r w:rsidRPr="00286229">
        <w:rPr>
          <w:highlight w:val="yellow"/>
        </w:rPr>
        <w:t>oxiana</w:t>
      </w:r>
      <w:proofErr w:type="spellEnd"/>
      <w:r w:rsidRPr="00286229">
        <w:rPr>
          <w:highlight w:val="yellow"/>
        </w:rPr>
        <w:t xml:space="preserve"> (Oxus Cobra)]; Two Pit Vipers [Agkistrodon </w:t>
      </w:r>
      <w:proofErr w:type="spellStart"/>
      <w:r w:rsidRPr="00286229">
        <w:rPr>
          <w:highlight w:val="yellow"/>
        </w:rPr>
        <w:t>halys</w:t>
      </w:r>
      <w:proofErr w:type="spellEnd"/>
      <w:r w:rsidRPr="00286229">
        <w:rPr>
          <w:highlight w:val="yellow"/>
        </w:rPr>
        <w:t xml:space="preserve"> (</w:t>
      </w:r>
      <w:proofErr w:type="spellStart"/>
      <w:r w:rsidRPr="00286229">
        <w:rPr>
          <w:highlight w:val="yellow"/>
        </w:rPr>
        <w:t>Haly’s</w:t>
      </w:r>
      <w:proofErr w:type="spellEnd"/>
      <w:r w:rsidRPr="00286229">
        <w:rPr>
          <w:highlight w:val="yellow"/>
        </w:rPr>
        <w:t xml:space="preserve"> Pit Viper), </w:t>
      </w:r>
      <w:proofErr w:type="spellStart"/>
      <w:r w:rsidRPr="00286229">
        <w:rPr>
          <w:highlight w:val="yellow"/>
        </w:rPr>
        <w:t>Gloydius</w:t>
      </w:r>
      <w:proofErr w:type="spellEnd"/>
      <w:r w:rsidRPr="00286229">
        <w:rPr>
          <w:highlight w:val="yellow"/>
        </w:rPr>
        <w:t xml:space="preserve"> </w:t>
      </w:r>
      <w:proofErr w:type="spellStart"/>
      <w:r w:rsidRPr="00286229">
        <w:rPr>
          <w:highlight w:val="yellow"/>
        </w:rPr>
        <w:t>himalayanus</w:t>
      </w:r>
      <w:proofErr w:type="spellEnd"/>
      <w:r w:rsidRPr="00286229">
        <w:rPr>
          <w:highlight w:val="yellow"/>
        </w:rPr>
        <w:t xml:space="preserve"> (Himalayan Pit Viper); Six Vipers [</w:t>
      </w:r>
      <w:proofErr w:type="spellStart"/>
      <w:r w:rsidRPr="00286229">
        <w:rPr>
          <w:highlight w:val="yellow"/>
        </w:rPr>
        <w:t>Echis</w:t>
      </w:r>
      <w:proofErr w:type="spellEnd"/>
      <w:r w:rsidRPr="00286229">
        <w:rPr>
          <w:highlight w:val="yellow"/>
        </w:rPr>
        <w:t xml:space="preserve"> </w:t>
      </w:r>
      <w:proofErr w:type="spellStart"/>
      <w:r w:rsidRPr="00286229">
        <w:rPr>
          <w:highlight w:val="yellow"/>
        </w:rPr>
        <w:t>carinatus</w:t>
      </w:r>
      <w:proofErr w:type="spellEnd"/>
      <w:r w:rsidRPr="00286229">
        <w:rPr>
          <w:highlight w:val="yellow"/>
        </w:rPr>
        <w:t xml:space="preserve"> (Saw-Scaled Viper), </w:t>
      </w:r>
      <w:proofErr w:type="spellStart"/>
      <w:r w:rsidRPr="00286229">
        <w:rPr>
          <w:highlight w:val="yellow"/>
        </w:rPr>
        <w:t>Echis</w:t>
      </w:r>
      <w:proofErr w:type="spellEnd"/>
      <w:r w:rsidRPr="00286229">
        <w:rPr>
          <w:highlight w:val="yellow"/>
        </w:rPr>
        <w:t xml:space="preserve"> c. </w:t>
      </w:r>
      <w:proofErr w:type="spellStart"/>
      <w:r w:rsidRPr="00286229">
        <w:rPr>
          <w:highlight w:val="yellow"/>
        </w:rPr>
        <w:t>multisquamatus</w:t>
      </w:r>
      <w:proofErr w:type="spellEnd"/>
      <w:r w:rsidRPr="00286229">
        <w:rPr>
          <w:highlight w:val="yellow"/>
        </w:rPr>
        <w:t xml:space="preserve"> (Saw-Scaled Viper)</w:t>
      </w:r>
      <w:r w:rsidR="001B2653">
        <w:rPr>
          <w:highlight w:val="yellow"/>
        </w:rPr>
        <w:t>,</w:t>
      </w:r>
      <w:r w:rsidRPr="00286229">
        <w:rPr>
          <w:highlight w:val="yellow"/>
        </w:rPr>
        <w:t xml:space="preserve"> </w:t>
      </w:r>
      <w:proofErr w:type="spellStart"/>
      <w:r w:rsidRPr="00286229">
        <w:rPr>
          <w:highlight w:val="yellow"/>
        </w:rPr>
        <w:t>Echis</w:t>
      </w:r>
      <w:proofErr w:type="spellEnd"/>
      <w:r w:rsidRPr="00286229">
        <w:rPr>
          <w:highlight w:val="yellow"/>
        </w:rPr>
        <w:t xml:space="preserve"> </w:t>
      </w:r>
      <w:proofErr w:type="spellStart"/>
      <w:r w:rsidRPr="00286229">
        <w:rPr>
          <w:highlight w:val="yellow"/>
        </w:rPr>
        <w:t>carinatus</w:t>
      </w:r>
      <w:proofErr w:type="spellEnd"/>
      <w:r w:rsidRPr="00286229">
        <w:rPr>
          <w:highlight w:val="yellow"/>
        </w:rPr>
        <w:t xml:space="preserve"> </w:t>
      </w:r>
      <w:proofErr w:type="spellStart"/>
      <w:r w:rsidRPr="00286229">
        <w:rPr>
          <w:highlight w:val="yellow"/>
        </w:rPr>
        <w:t>sochureki</w:t>
      </w:r>
      <w:proofErr w:type="spellEnd"/>
      <w:r w:rsidRPr="00286229">
        <w:rPr>
          <w:highlight w:val="yellow"/>
        </w:rPr>
        <w:t xml:space="preserve"> (Saw Scaled Viper), </w:t>
      </w:r>
      <w:proofErr w:type="spellStart"/>
      <w:r w:rsidRPr="00286229">
        <w:rPr>
          <w:highlight w:val="yellow"/>
        </w:rPr>
        <w:t>Eristocophis</w:t>
      </w:r>
      <w:proofErr w:type="spellEnd"/>
      <w:r w:rsidRPr="00286229">
        <w:rPr>
          <w:highlight w:val="yellow"/>
        </w:rPr>
        <w:t xml:space="preserve"> </w:t>
      </w:r>
      <w:proofErr w:type="spellStart"/>
      <w:r w:rsidRPr="00286229">
        <w:rPr>
          <w:highlight w:val="yellow"/>
        </w:rPr>
        <w:t>macmahonii</w:t>
      </w:r>
      <w:proofErr w:type="spellEnd"/>
      <w:r w:rsidRPr="00286229">
        <w:rPr>
          <w:highlight w:val="yellow"/>
        </w:rPr>
        <w:t xml:space="preserve"> (Asian Sand Viper), </w:t>
      </w:r>
      <w:proofErr w:type="spellStart"/>
      <w:r w:rsidRPr="00286229">
        <w:rPr>
          <w:highlight w:val="yellow"/>
        </w:rPr>
        <w:t>Pseudocerastes</w:t>
      </w:r>
      <w:proofErr w:type="spellEnd"/>
      <w:r w:rsidRPr="00286229">
        <w:rPr>
          <w:highlight w:val="yellow"/>
        </w:rPr>
        <w:t xml:space="preserve"> </w:t>
      </w:r>
      <w:proofErr w:type="spellStart"/>
      <w:r w:rsidRPr="00286229">
        <w:rPr>
          <w:highlight w:val="yellow"/>
        </w:rPr>
        <w:t>persicus</w:t>
      </w:r>
      <w:proofErr w:type="spellEnd"/>
      <w:r w:rsidRPr="00286229">
        <w:rPr>
          <w:highlight w:val="yellow"/>
        </w:rPr>
        <w:t xml:space="preserve"> (Persian Horned Viper), </w:t>
      </w:r>
      <w:proofErr w:type="spellStart"/>
      <w:r w:rsidRPr="00286229">
        <w:rPr>
          <w:highlight w:val="yellow"/>
        </w:rPr>
        <w:t>Vipera</w:t>
      </w:r>
      <w:proofErr w:type="spellEnd"/>
      <w:r w:rsidRPr="00286229">
        <w:rPr>
          <w:highlight w:val="yellow"/>
        </w:rPr>
        <w:t xml:space="preserve"> </w:t>
      </w:r>
      <w:proofErr w:type="spellStart"/>
      <w:r w:rsidRPr="00286229">
        <w:rPr>
          <w:highlight w:val="yellow"/>
        </w:rPr>
        <w:t>lebetina</w:t>
      </w:r>
      <w:proofErr w:type="spellEnd"/>
      <w:r w:rsidRPr="00286229">
        <w:rPr>
          <w:highlight w:val="yellow"/>
        </w:rPr>
        <w:t xml:space="preserve"> (Levantine Viper); and seven Sea Snakes</w:t>
      </w:r>
      <w:r>
        <w:t>.</w:t>
      </w:r>
    </w:p>
    <w:p w14:paraId="7AEE6C97" w14:textId="77777777" w:rsidR="00BF40F7" w:rsidRPr="002F2E05" w:rsidRDefault="00BF40F7" w:rsidP="002F0040"/>
    <w:p w14:paraId="27C8DAA9" w14:textId="1EFDBE8A" w:rsidR="00CD4E0A" w:rsidRPr="002F2E05" w:rsidRDefault="00992A27" w:rsidP="00580B36">
      <w:pPr>
        <w:pStyle w:val="Heading2"/>
      </w:pPr>
      <w:r w:rsidRPr="002F2E05">
        <w:t>Short-term health risk:</w:t>
      </w:r>
    </w:p>
    <w:p w14:paraId="5F795E55" w14:textId="77777777" w:rsidR="00CD4E0A" w:rsidRPr="002F2E05" w:rsidRDefault="00CD4E0A" w:rsidP="002F0040"/>
    <w:p w14:paraId="4E24D405" w14:textId="383F89C2" w:rsidR="00CD4E0A" w:rsidRPr="002F2E05" w:rsidRDefault="00CD4E0A" w:rsidP="002F0040">
      <w:r w:rsidRPr="002F2E05">
        <w:rPr>
          <w:b/>
        </w:rPr>
        <w:t>Low</w:t>
      </w:r>
      <w:r w:rsidR="002C6D14" w:rsidRPr="00FE1639">
        <w:t xml:space="preserve">. </w:t>
      </w:r>
      <w:r w:rsidR="005A6E17" w:rsidRPr="002F2E05">
        <w:t>If encountered, effects of venom vary with species from mild localized swelling to potentially lethal effects. Mitigation strategies included avoiding contact, proper wear of uniform (especially footwear), and timely medical treatment</w:t>
      </w:r>
      <w:r w:rsidR="00120B3B" w:rsidRPr="00120B3B">
        <w:t xml:space="preserve"> </w:t>
      </w:r>
      <w:r w:rsidR="00120B3B">
        <w:t>that may require antivenom or antitoxin</w:t>
      </w:r>
      <w:r w:rsidR="005A6E17" w:rsidRPr="002F2E05">
        <w:t xml:space="preserve">. </w:t>
      </w:r>
    </w:p>
    <w:p w14:paraId="75E6A84B" w14:textId="77777777" w:rsidR="00CD4E0A" w:rsidRPr="002F2E05" w:rsidRDefault="00CD4E0A" w:rsidP="002F0040"/>
    <w:p w14:paraId="2CD33557" w14:textId="11B53D30" w:rsidR="00CD4E0A" w:rsidRPr="002F2E05" w:rsidRDefault="00CD4E0A" w:rsidP="00580B36">
      <w:pPr>
        <w:pStyle w:val="Heading2"/>
      </w:pPr>
      <w:r w:rsidRPr="002F2E05">
        <w:t>Long-term health risk:</w:t>
      </w:r>
    </w:p>
    <w:p w14:paraId="3DB21A41" w14:textId="77777777" w:rsidR="00CD4E0A" w:rsidRPr="002F2E05" w:rsidRDefault="00CD4E0A" w:rsidP="002F0040"/>
    <w:p w14:paraId="74A60CAC" w14:textId="77777777" w:rsidR="00CD4E0A" w:rsidRPr="002F2E05" w:rsidRDefault="00CD4E0A" w:rsidP="002F0040">
      <w:r w:rsidRPr="002F2E05">
        <w:t>None identified.</w:t>
      </w:r>
    </w:p>
    <w:p w14:paraId="21411341" w14:textId="77777777" w:rsidR="003F2C34" w:rsidRPr="002F2E05" w:rsidRDefault="003F2C34" w:rsidP="002F0040"/>
    <w:p w14:paraId="71CF05A9" w14:textId="7C1A9FD2" w:rsidR="001868ED" w:rsidRPr="002F2E05" w:rsidRDefault="001868ED" w:rsidP="0010791E">
      <w:pPr>
        <w:pStyle w:val="Heading1"/>
        <w:rPr>
          <w:sz w:val="22"/>
          <w:szCs w:val="22"/>
        </w:rPr>
      </w:pPr>
      <w:r w:rsidRPr="002F2E05">
        <w:t>Heat/Cold Stress</w:t>
      </w:r>
    </w:p>
    <w:p w14:paraId="7D7A4928" w14:textId="77777777" w:rsidR="007D3DF8" w:rsidRPr="00BB18CE" w:rsidRDefault="007D3DF8" w:rsidP="002F0040">
      <w:pPr>
        <w:rPr>
          <w:highlight w:val="yellow"/>
        </w:rPr>
      </w:pPr>
    </w:p>
    <w:p w14:paraId="3BD24CEC" w14:textId="5B57F4E5" w:rsidR="004C78EB" w:rsidRPr="00AD456F" w:rsidRDefault="004C78EB" w:rsidP="00580B36">
      <w:pPr>
        <w:pStyle w:val="Heading2"/>
      </w:pPr>
      <w:r w:rsidRPr="00E97596">
        <w:t>Heat</w:t>
      </w:r>
    </w:p>
    <w:p w14:paraId="40CA270F" w14:textId="171B31A9" w:rsidR="002A1B92" w:rsidRPr="00013DA1" w:rsidRDefault="002A1B92" w:rsidP="00013DA1"/>
    <w:p w14:paraId="0078BFBA" w14:textId="4B1A3E0A" w:rsidR="00013DA1" w:rsidRDefault="000327A3" w:rsidP="00013DA1">
      <w:r>
        <w:t>The r</w:t>
      </w:r>
      <w:r w:rsidR="002A1B92">
        <w:t xml:space="preserve">isk of heat injury in unacclimatized or susceptible personnel </w:t>
      </w:r>
      <w:r w:rsidR="00BB4C4D">
        <w:t xml:space="preserve">varies throughout </w:t>
      </w:r>
      <w:r w:rsidR="00771270">
        <w:t xml:space="preserve">the year. </w:t>
      </w:r>
      <w:r w:rsidR="002A1B92">
        <w:t>Heat injuries, from least to most serious include heat rash, heat syncope, heat exhaustion</w:t>
      </w:r>
      <w:r w:rsidR="004C6AA7">
        <w:t>,</w:t>
      </w:r>
      <w:r w:rsidR="002A1B92">
        <w:t xml:space="preserve"> and heat stroke. Mitigation measures are gradual acclimatization, hydration, work-rest cycles, and cooling facilities.</w:t>
      </w:r>
      <w:r w:rsidR="00D97EC6">
        <w:t xml:space="preserve"> Affected personnel, particularly with serious heat stress injuries, are likely to have sought medical attention and had the event and its medical management recorded in their medical record (e.g., EMR and/or SF 600 paper record).</w:t>
      </w:r>
    </w:p>
    <w:p w14:paraId="448DE3B7" w14:textId="769BEF08" w:rsidR="002A1B92" w:rsidRPr="00013DA1" w:rsidRDefault="00D97EC6" w:rsidP="00013DA1">
      <w:r w:rsidRPr="00013DA1">
        <w:t xml:space="preserve"> </w:t>
      </w:r>
    </w:p>
    <w:p w14:paraId="29B3C19D" w14:textId="69C9BBD1" w:rsidR="00AB72A1" w:rsidRPr="00E97596" w:rsidRDefault="00AB72A1" w:rsidP="00013DA1">
      <w:r w:rsidRPr="00013DA1">
        <w:t>Su</w:t>
      </w:r>
      <w:r w:rsidRPr="00F83550">
        <w:t>mmer (</w:t>
      </w:r>
      <w:r w:rsidRPr="00DA7D3D">
        <w:rPr>
          <w:highlight w:val="yellow"/>
        </w:rPr>
        <w:t>month – month</w:t>
      </w:r>
      <w:r w:rsidRPr="00F83550">
        <w:t xml:space="preserve">) </w:t>
      </w:r>
      <w:r>
        <w:t>average monthly high</w:t>
      </w:r>
      <w:r w:rsidRPr="00F83550">
        <w:t xml:space="preserve"> temperatures range from </w:t>
      </w:r>
      <w:r w:rsidRPr="00F83550">
        <w:rPr>
          <w:highlight w:val="yellow"/>
        </w:rPr>
        <w:t>X</w:t>
      </w:r>
      <w:r>
        <w:rPr>
          <w:highlight w:val="yellow"/>
        </w:rPr>
        <w:t xml:space="preserve">X </w:t>
      </w:r>
      <w:r w:rsidRPr="00932661">
        <w:t xml:space="preserve">degrees Fahrenheit (°F) to </w:t>
      </w:r>
      <w:r>
        <w:rPr>
          <w:highlight w:val="yellow"/>
        </w:rPr>
        <w:t>XX</w:t>
      </w:r>
      <w:r w:rsidRPr="00932661">
        <w:t>°F</w:t>
      </w:r>
      <w:r w:rsidR="004C6AA7">
        <w:t>,</w:t>
      </w:r>
      <w:r w:rsidRPr="00F83550">
        <w:t xml:space="preserve"> with an average </w:t>
      </w:r>
      <w:r>
        <w:t xml:space="preserve">high </w:t>
      </w:r>
      <w:r w:rsidRPr="00F83550">
        <w:t xml:space="preserve">temperature of </w:t>
      </w:r>
      <w:r w:rsidRPr="00F83550">
        <w:rPr>
          <w:highlight w:val="yellow"/>
        </w:rPr>
        <w:t>XX</w:t>
      </w:r>
      <w:r w:rsidRPr="00F83550">
        <w:t xml:space="preserve">°F based on historical climatological data from the </w:t>
      </w:r>
      <w:r>
        <w:t>(</w:t>
      </w:r>
      <w:commentRangeStart w:id="76"/>
      <w:r w:rsidRPr="00550F05">
        <w:rPr>
          <w:highlight w:val="yellow"/>
        </w:rPr>
        <w:t>fill</w:t>
      </w:r>
      <w:commentRangeEnd w:id="76"/>
      <w:r w:rsidR="00BF5A33">
        <w:rPr>
          <w:rStyle w:val="CommentReference"/>
        </w:rPr>
        <w:commentReference w:id="76"/>
      </w:r>
      <w:r w:rsidRPr="00550F05">
        <w:rPr>
          <w:highlight w:val="yellow"/>
        </w:rPr>
        <w:t xml:space="preserve"> in the blank</w:t>
      </w:r>
      <w:r w:rsidR="00A11573">
        <w:t xml:space="preserve"> </w:t>
      </w:r>
      <w:r w:rsidR="00A11573" w:rsidRPr="00A11573">
        <w:rPr>
          <w:highlight w:val="yellow"/>
        </w:rPr>
        <w:t xml:space="preserve">and provide </w:t>
      </w:r>
      <w:r w:rsidR="00A11573">
        <w:rPr>
          <w:highlight w:val="yellow"/>
        </w:rPr>
        <w:t>R</w:t>
      </w:r>
      <w:r w:rsidR="00A11573" w:rsidRPr="00A11573">
        <w:rPr>
          <w:highlight w:val="yellow"/>
        </w:rPr>
        <w:t>eference</w:t>
      </w:r>
      <w:r>
        <w:t>)</w:t>
      </w:r>
      <w:r>
        <w:rPr>
          <w:bCs/>
        </w:rPr>
        <w:t xml:space="preserve">. </w:t>
      </w:r>
      <w:r w:rsidRPr="00F83550">
        <w:t xml:space="preserve">The health risk of heat stress/injury based on temperatures alone is Low </w:t>
      </w:r>
      <w:r w:rsidRPr="00932661">
        <w:t xml:space="preserve">(&lt; 78°F) </w:t>
      </w:r>
      <w:r w:rsidRPr="00F83550">
        <w:t>from</w:t>
      </w:r>
      <w:r w:rsidRPr="00F83550">
        <w:rPr>
          <w:highlight w:val="yellow"/>
        </w:rPr>
        <w:t xml:space="preserve"> month </w:t>
      </w:r>
      <w:r w:rsidR="004C6AA7">
        <w:rPr>
          <w:highlight w:val="yellow"/>
        </w:rPr>
        <w:t>to</w:t>
      </w:r>
      <w:r w:rsidR="004C6AA7" w:rsidRPr="00F83550">
        <w:rPr>
          <w:highlight w:val="yellow"/>
        </w:rPr>
        <w:t xml:space="preserve"> </w:t>
      </w:r>
      <w:r w:rsidRPr="00F83550">
        <w:rPr>
          <w:highlight w:val="yellow"/>
        </w:rPr>
        <w:t>month</w:t>
      </w:r>
      <w:r w:rsidRPr="00932661">
        <w:t xml:space="preserve">, </w:t>
      </w:r>
      <w:r w:rsidRPr="00F83550">
        <w:t xml:space="preserve">Moderate (78-81.9°F) from </w:t>
      </w:r>
      <w:r w:rsidRPr="00F83550">
        <w:rPr>
          <w:highlight w:val="yellow"/>
        </w:rPr>
        <w:t xml:space="preserve">month </w:t>
      </w:r>
      <w:r w:rsidR="004C6AA7">
        <w:rPr>
          <w:highlight w:val="yellow"/>
        </w:rPr>
        <w:t>to</w:t>
      </w:r>
      <w:r w:rsidR="004C6AA7" w:rsidRPr="00F83550">
        <w:rPr>
          <w:highlight w:val="yellow"/>
        </w:rPr>
        <w:t xml:space="preserve"> </w:t>
      </w:r>
      <w:r w:rsidRPr="00F83550">
        <w:rPr>
          <w:highlight w:val="yellow"/>
        </w:rPr>
        <w:t xml:space="preserve">month, </w:t>
      </w:r>
      <w:r>
        <w:t>H</w:t>
      </w:r>
      <w:r w:rsidRPr="00F83550">
        <w:t xml:space="preserve">igh (82-87.9°F) from </w:t>
      </w:r>
      <w:r w:rsidRPr="00F83550">
        <w:rPr>
          <w:highlight w:val="yellow"/>
        </w:rPr>
        <w:t xml:space="preserve">month </w:t>
      </w:r>
      <w:r w:rsidR="004C6AA7">
        <w:rPr>
          <w:highlight w:val="yellow"/>
        </w:rPr>
        <w:t>to</w:t>
      </w:r>
      <w:r w:rsidR="004C6AA7" w:rsidRPr="00F83550">
        <w:rPr>
          <w:highlight w:val="yellow"/>
        </w:rPr>
        <w:t xml:space="preserve"> </w:t>
      </w:r>
      <w:r w:rsidRPr="00F83550">
        <w:rPr>
          <w:highlight w:val="yellow"/>
        </w:rPr>
        <w:t xml:space="preserve">month, </w:t>
      </w:r>
      <w:r w:rsidRPr="00F83550">
        <w:t xml:space="preserve">and </w:t>
      </w:r>
      <w:r>
        <w:t>E</w:t>
      </w:r>
      <w:r w:rsidRPr="00F83550">
        <w:t xml:space="preserve">xtremely </w:t>
      </w:r>
      <w:r>
        <w:t>H</w:t>
      </w:r>
      <w:r w:rsidRPr="00F83550">
        <w:t xml:space="preserve">igh </w:t>
      </w:r>
      <w:r w:rsidRPr="00F83550">
        <w:lastRenderedPageBreak/>
        <w:t xml:space="preserve">(≥ 88°F) from </w:t>
      </w:r>
      <w:r w:rsidRPr="00F83550">
        <w:rPr>
          <w:highlight w:val="yellow"/>
        </w:rPr>
        <w:t xml:space="preserve">month </w:t>
      </w:r>
      <w:r w:rsidR="004C6AA7">
        <w:rPr>
          <w:highlight w:val="yellow"/>
        </w:rPr>
        <w:t>to</w:t>
      </w:r>
      <w:r w:rsidRPr="00F83550">
        <w:rPr>
          <w:highlight w:val="yellow"/>
        </w:rPr>
        <w:t xml:space="preserve"> month</w:t>
      </w:r>
      <w:r>
        <w:t xml:space="preserve">. </w:t>
      </w:r>
      <w:r w:rsidRPr="00713B74">
        <w:t>However</w:t>
      </w:r>
      <w:r w:rsidRPr="00E97596">
        <w:t xml:space="preserve">, work intensity and clothing/equipment worn </w:t>
      </w:r>
      <w:r>
        <w:t>introduce</w:t>
      </w:r>
      <w:r w:rsidRPr="00E97596">
        <w:t xml:space="preserve"> greater risk of heat stress/injury than environmental factors alone </w:t>
      </w:r>
      <w:r w:rsidRPr="00E97596">
        <w:rPr>
          <w:bCs/>
        </w:rPr>
        <w:t>(</w:t>
      </w:r>
      <w:r>
        <w:t xml:space="preserve">Reference </w:t>
      </w:r>
      <w:r w:rsidRPr="00FE51B3">
        <w:rPr>
          <w:highlight w:val="yellow"/>
        </w:rPr>
        <w:t>XX</w:t>
      </w:r>
      <w:r w:rsidRPr="00E97596">
        <w:rPr>
          <w:bCs/>
        </w:rPr>
        <w:t xml:space="preserve">). Managing risk </w:t>
      </w:r>
      <w:r>
        <w:rPr>
          <w:bCs/>
        </w:rPr>
        <w:t>during h</w:t>
      </w:r>
      <w:r w:rsidRPr="00E97596">
        <w:rPr>
          <w:bCs/>
        </w:rPr>
        <w:t xml:space="preserve">ot weather operations included monitoring </w:t>
      </w:r>
      <w:r w:rsidR="00120B3B">
        <w:t xml:space="preserve">and enforcing proper </w:t>
      </w:r>
      <w:r w:rsidRPr="00E97596">
        <w:rPr>
          <w:bCs/>
        </w:rPr>
        <w:t xml:space="preserve">work/rest periods, </w:t>
      </w:r>
      <w:r w:rsidR="00120B3B">
        <w:t>adequate</w:t>
      </w:r>
      <w:r w:rsidRPr="00E97596">
        <w:rPr>
          <w:bCs/>
        </w:rPr>
        <w:t xml:space="preserve"> hydration, and taking individual risk factors (e.g., acclimation, weight, and physical conditioning) into consideration. </w:t>
      </w:r>
      <w:r w:rsidRPr="00E97596">
        <w:t>Risk of heat stress/injury was reduced with preventive measures.</w:t>
      </w:r>
    </w:p>
    <w:p w14:paraId="635D7816" w14:textId="77777777" w:rsidR="007D3DF8" w:rsidRPr="00E97596" w:rsidRDefault="007D3DF8" w:rsidP="002F0040"/>
    <w:p w14:paraId="13D4CF38" w14:textId="48C2D1FB" w:rsidR="007D3DF8" w:rsidRPr="00E97596" w:rsidRDefault="007D3DF8" w:rsidP="00FD4769">
      <w:pPr>
        <w:pStyle w:val="Heading3"/>
      </w:pPr>
      <w:r w:rsidRPr="00E97596">
        <w:t xml:space="preserve">Short-term </w:t>
      </w:r>
      <w:r w:rsidR="00AA65FA" w:rsidRPr="00E97596">
        <w:t>Health Risk</w:t>
      </w:r>
      <w:r w:rsidRPr="00E97596">
        <w:t>:</w:t>
      </w:r>
    </w:p>
    <w:p w14:paraId="661E480C" w14:textId="77777777" w:rsidR="007D3DF8" w:rsidRPr="00E97596" w:rsidRDefault="007D3DF8" w:rsidP="002F0040"/>
    <w:p w14:paraId="5D5B07CD" w14:textId="3DA793D0" w:rsidR="007D3DF8" w:rsidRPr="00E97596" w:rsidRDefault="001F015A" w:rsidP="002F0040">
      <w:bookmarkStart w:id="77" w:name="heat_short_mitigated"/>
      <w:r w:rsidRPr="001F015A">
        <w:rPr>
          <w:b/>
          <w:highlight w:val="yellow"/>
        </w:rPr>
        <w:t>Low</w:t>
      </w:r>
      <w:r w:rsidR="00A1323C" w:rsidRPr="001F015A">
        <w:rPr>
          <w:b/>
          <w:highlight w:val="yellow"/>
        </w:rPr>
        <w:t xml:space="preserve"> to </w:t>
      </w:r>
      <w:r w:rsidRPr="001F015A">
        <w:rPr>
          <w:b/>
          <w:highlight w:val="yellow"/>
        </w:rPr>
        <w:t>High</w:t>
      </w:r>
      <w:r w:rsidR="00A1323C" w:rsidRPr="00E97596">
        <w:rPr>
          <w:b/>
        </w:rPr>
        <w:t>, mitigated to Low</w:t>
      </w:r>
      <w:bookmarkEnd w:id="77"/>
      <w:r w:rsidR="002C6D14" w:rsidRPr="00FE1639">
        <w:t xml:space="preserve">. </w:t>
      </w:r>
      <w:r w:rsidR="005A6E17" w:rsidRPr="00E97596">
        <w:t xml:space="preserve">The risk of heat injury was reduced to low through preventive measures such as work/rest cycles, proper hydration and nutrition, and monitoring </w:t>
      </w:r>
      <w:r w:rsidR="005A6E17" w:rsidRPr="00E97596">
        <w:rPr>
          <w:bCs/>
        </w:rPr>
        <w:t>Wet Bulb Globe Temperature</w:t>
      </w:r>
      <w:r w:rsidR="005A6E17" w:rsidRPr="00E97596">
        <w:t xml:space="preserve"> (</w:t>
      </w:r>
      <w:r w:rsidR="005A6E17" w:rsidRPr="00E97596">
        <w:rPr>
          <w:bCs/>
        </w:rPr>
        <w:t>WBGT</w:t>
      </w:r>
      <w:r w:rsidR="005A6E17" w:rsidRPr="00E97596">
        <w:t>)</w:t>
      </w:r>
      <w:r w:rsidR="00D279EF" w:rsidRPr="00E97596">
        <w:t xml:space="preserve">. </w:t>
      </w:r>
      <w:r w:rsidR="005A6E17" w:rsidRPr="00E97596">
        <w:t xml:space="preserve">Risk of heat injury in unacclimatized or susceptible populations (older, previous history of heat injury, poor physical condition, underlying medical/health conditions), and those under operational constraints (equipment, PPE, vehicles) is </w:t>
      </w:r>
      <w:r w:rsidR="00FE51B3" w:rsidRPr="00FE51B3">
        <w:rPr>
          <w:highlight w:val="yellow"/>
        </w:rPr>
        <w:t>high</w:t>
      </w:r>
      <w:r w:rsidR="00BB18CE" w:rsidRPr="00E97596">
        <w:t xml:space="preserve"> from </w:t>
      </w:r>
      <w:r w:rsidR="00744574">
        <w:rPr>
          <w:highlight w:val="yellow"/>
        </w:rPr>
        <w:t>XX</w:t>
      </w:r>
      <w:r w:rsidR="00BB18CE" w:rsidRPr="00744574">
        <w:rPr>
          <w:highlight w:val="yellow"/>
        </w:rPr>
        <w:t>-</w:t>
      </w:r>
      <w:r w:rsidR="00744574" w:rsidRPr="00744574">
        <w:rPr>
          <w:highlight w:val="yellow"/>
        </w:rPr>
        <w:t>XX</w:t>
      </w:r>
      <w:r w:rsidR="00D279EF" w:rsidRPr="00E97596">
        <w:t xml:space="preserve">. </w:t>
      </w:r>
      <w:r w:rsidR="00535D77" w:rsidRPr="00DE7242">
        <w:t xml:space="preserve">Confidence in the health risk estimate is </w:t>
      </w:r>
      <w:commentRangeStart w:id="78"/>
      <w:r w:rsidR="00535D77" w:rsidRPr="00FE51B3">
        <w:rPr>
          <w:highlight w:val="yellow"/>
        </w:rPr>
        <w:t>low</w:t>
      </w:r>
      <w:commentRangeEnd w:id="78"/>
      <w:r w:rsidR="00FE51B3">
        <w:rPr>
          <w:rStyle w:val="CommentReference"/>
        </w:rPr>
        <w:commentReference w:id="78"/>
      </w:r>
      <w:r w:rsidR="00535D77" w:rsidRPr="00DE7242">
        <w:t xml:space="preserve"> </w:t>
      </w:r>
      <w:r w:rsidR="00535D77" w:rsidRPr="00DE7242">
        <w:rPr>
          <w:color w:val="000000"/>
        </w:rPr>
        <w:t>(</w:t>
      </w:r>
      <w:r w:rsidR="00535D77" w:rsidRPr="00FE51B3">
        <w:t xml:space="preserve">Reference </w:t>
      </w:r>
      <w:r w:rsidR="00B96600" w:rsidRPr="00FE51B3">
        <w:rPr>
          <w:highlight w:val="yellow"/>
        </w:rPr>
        <w:t>XX</w:t>
      </w:r>
      <w:r w:rsidR="00535D77" w:rsidRPr="00FE51B3">
        <w:t>, Table 3-6</w:t>
      </w:r>
      <w:r w:rsidR="00535D77" w:rsidRPr="00DE7242">
        <w:rPr>
          <w:color w:val="000000"/>
        </w:rPr>
        <w:t>)</w:t>
      </w:r>
      <w:r w:rsidR="00535D77" w:rsidRPr="00DE7242">
        <w:t>.</w:t>
      </w:r>
    </w:p>
    <w:p w14:paraId="58D11BEC" w14:textId="77777777" w:rsidR="005A6E17" w:rsidRPr="00BB18CE" w:rsidRDefault="005A6E17" w:rsidP="002F0040">
      <w:pPr>
        <w:rPr>
          <w:highlight w:val="yellow"/>
        </w:rPr>
      </w:pPr>
    </w:p>
    <w:p w14:paraId="08472A34" w14:textId="55B00D8E" w:rsidR="007D3DF8" w:rsidRPr="00E97596" w:rsidRDefault="007D3DF8" w:rsidP="00FD4769">
      <w:pPr>
        <w:pStyle w:val="Heading3"/>
      </w:pPr>
      <w:r w:rsidRPr="00E97596">
        <w:t xml:space="preserve">Long-term </w:t>
      </w:r>
      <w:r w:rsidR="00AA65FA" w:rsidRPr="00E97596">
        <w:t>Health Risk</w:t>
      </w:r>
      <w:r w:rsidRPr="00E97596">
        <w:t>:</w:t>
      </w:r>
    </w:p>
    <w:p w14:paraId="2D2AC17E" w14:textId="77777777" w:rsidR="007D3DF8" w:rsidRPr="00E97596" w:rsidRDefault="007D3DF8" w:rsidP="002F0040"/>
    <w:p w14:paraId="5C4DC5E1" w14:textId="7B372F38" w:rsidR="007D3DF8" w:rsidRPr="00E97596" w:rsidRDefault="007D3DF8" w:rsidP="002F0040">
      <w:pPr>
        <w:rPr>
          <w:b/>
        </w:rPr>
      </w:pPr>
      <w:bookmarkStart w:id="79" w:name="heat_long"/>
      <w:r w:rsidRPr="00E97596">
        <w:rPr>
          <w:b/>
        </w:rPr>
        <w:t>Low</w:t>
      </w:r>
      <w:bookmarkEnd w:id="79"/>
      <w:r w:rsidR="002C6D14" w:rsidRPr="00FE1639">
        <w:t xml:space="preserve">. </w:t>
      </w:r>
      <w:r w:rsidR="00BF48B7" w:rsidRPr="00E97596">
        <w:t>The long-term risk is Low</w:t>
      </w:r>
      <w:r w:rsidR="002C6D14" w:rsidRPr="00E97596">
        <w:t xml:space="preserve">. </w:t>
      </w:r>
      <w:r w:rsidR="009A1CCB" w:rsidRPr="00E97596">
        <w:t>However, the risk may be greater for certain susceptible persons</w:t>
      </w:r>
      <w:r w:rsidR="0005247E">
        <w:rPr>
          <w:rFonts w:cs="Arial"/>
        </w:rPr>
        <w:t>—</w:t>
      </w:r>
      <w:r w:rsidR="009A1CCB" w:rsidRPr="00E97596">
        <w:t>those older (i.e., greater than 45 years</w:t>
      </w:r>
      <w:r w:rsidR="00541945">
        <w:t xml:space="preserve"> of age</w:t>
      </w:r>
      <w:r w:rsidR="009A1CCB" w:rsidRPr="00E97596">
        <w:t xml:space="preserve">), in lesser physical </w:t>
      </w:r>
      <w:r w:rsidR="00541945">
        <w:t>condition</w:t>
      </w:r>
      <w:r w:rsidR="009A1CCB" w:rsidRPr="00E97596">
        <w:t>, or with underlying medical/health conditions</w:t>
      </w:r>
      <w:r w:rsidR="002C6D14" w:rsidRPr="00E97596">
        <w:t xml:space="preserve">. </w:t>
      </w:r>
      <w:r w:rsidR="009A1CCB" w:rsidRPr="00E97596">
        <w:t xml:space="preserve">Long-term health implications from heat injuries are </w:t>
      </w:r>
      <w:r w:rsidR="00541945">
        <w:t>infrequent</w:t>
      </w:r>
      <w:r w:rsidR="00541945" w:rsidRPr="00E97596">
        <w:t xml:space="preserve"> </w:t>
      </w:r>
      <w:r w:rsidR="009A1CCB" w:rsidRPr="00E97596">
        <w:t>but may occur, especially from more serious injuries such as heat stroke</w:t>
      </w:r>
      <w:r w:rsidR="002C6D14" w:rsidRPr="00E97596">
        <w:t xml:space="preserve">. </w:t>
      </w:r>
      <w:r w:rsidR="009A1CCB" w:rsidRPr="00E97596">
        <w:t>It is possible that high heat in conjunction with various chemical exposures may increase long-term health risks, though specific scientific evidence is not conclusive</w:t>
      </w:r>
      <w:r w:rsidR="002C6D14" w:rsidRPr="00E97596">
        <w:t xml:space="preserve">. </w:t>
      </w:r>
      <w:r w:rsidR="00535D77" w:rsidRPr="00DE7242">
        <w:t xml:space="preserve">Confidence in the health risk estimate is </w:t>
      </w:r>
      <w:r w:rsidR="00535D77" w:rsidRPr="00FE51B3">
        <w:rPr>
          <w:highlight w:val="yellow"/>
        </w:rPr>
        <w:t>low</w:t>
      </w:r>
      <w:r w:rsidR="00535D77" w:rsidRPr="00DE7242">
        <w:t xml:space="preserve"> </w:t>
      </w:r>
      <w:r w:rsidR="00535D77" w:rsidRPr="00DE7242">
        <w:rPr>
          <w:color w:val="000000"/>
        </w:rPr>
        <w:t>(</w:t>
      </w:r>
      <w:r w:rsidR="00535D77" w:rsidRPr="00744574">
        <w:t xml:space="preserve">Reference </w:t>
      </w:r>
      <w:r w:rsidR="00B96600" w:rsidRPr="00FE51B3">
        <w:rPr>
          <w:highlight w:val="yellow"/>
        </w:rPr>
        <w:t>XX</w:t>
      </w:r>
      <w:r w:rsidR="00535D77" w:rsidRPr="00744574">
        <w:t>, Table 3-6</w:t>
      </w:r>
      <w:r w:rsidR="00535D77" w:rsidRPr="00DE7242">
        <w:rPr>
          <w:color w:val="000000"/>
        </w:rPr>
        <w:t>)</w:t>
      </w:r>
      <w:r w:rsidR="00535D77" w:rsidRPr="00DE7242">
        <w:t>.</w:t>
      </w:r>
    </w:p>
    <w:p w14:paraId="2EAD310A" w14:textId="77777777" w:rsidR="007D3DF8" w:rsidRPr="00E97596" w:rsidRDefault="007D3DF8" w:rsidP="002F0040"/>
    <w:p w14:paraId="3F3EE288" w14:textId="46D58DE8" w:rsidR="004C78EB" w:rsidRPr="00E97596" w:rsidRDefault="004C78EB" w:rsidP="00580B36">
      <w:pPr>
        <w:pStyle w:val="Heading2"/>
      </w:pPr>
      <w:r w:rsidRPr="00E97596">
        <w:t>Cold</w:t>
      </w:r>
    </w:p>
    <w:p w14:paraId="62BA18F6" w14:textId="1D78CE51" w:rsidR="007D3DF8" w:rsidRDefault="007D3DF8" w:rsidP="002F0040"/>
    <w:p w14:paraId="7794ECFB" w14:textId="32731A89" w:rsidR="00BB4C4D" w:rsidRPr="00013DA1" w:rsidRDefault="00BB4C4D" w:rsidP="00BB4C4D">
      <w:r>
        <w:t>The risk of cold injury increased during the winter months</w:t>
      </w:r>
      <w:r w:rsidRPr="33C63274">
        <w:rPr>
          <w:b/>
          <w:bCs/>
        </w:rPr>
        <w:t>,</w:t>
      </w:r>
      <w:r>
        <w:t xml:space="preserve"> particularly in those inadequately prepared for and unacclimatized to cold weather conditions. The range of cold weather injuries are divided into freezing and non-freezing injuries and may include chilblains, immersion foot, frostnip, frostbite, and hypothermia. Interventions are typically rewarming and wound care. Affected personnel, particularly with serious heat stress injuries, are likely to have sought medical attention and had the event and its medical management recorded in their medical record (e.g., EMR and/or SF 600 paper record).</w:t>
      </w:r>
    </w:p>
    <w:p w14:paraId="635A051F" w14:textId="77777777" w:rsidR="00BB4C4D" w:rsidRPr="00E97596" w:rsidRDefault="00BB4C4D" w:rsidP="002F0040"/>
    <w:p w14:paraId="48B1F547" w14:textId="7C36BC7F" w:rsidR="00D279EF" w:rsidRDefault="00D279EF" w:rsidP="002F0040">
      <w:pPr>
        <w:rPr>
          <w:bCs/>
        </w:rPr>
      </w:pPr>
      <w:r w:rsidRPr="00E97596">
        <w:t>Winter (</w:t>
      </w:r>
      <w:r w:rsidR="001F015A" w:rsidRPr="00DA7D3D">
        <w:rPr>
          <w:highlight w:val="yellow"/>
        </w:rPr>
        <w:t>month – month</w:t>
      </w:r>
      <w:r w:rsidRPr="00E97596">
        <w:t>) monthly mean daily min</w:t>
      </w:r>
      <w:r w:rsidR="00BB18CE" w:rsidRPr="00E97596">
        <w:t xml:space="preserve">imum temperatures range from </w:t>
      </w:r>
      <w:r w:rsidR="001F015A" w:rsidRPr="001F015A">
        <w:rPr>
          <w:highlight w:val="yellow"/>
        </w:rPr>
        <w:t>XX</w:t>
      </w:r>
      <w:r w:rsidR="00541945" w:rsidRPr="00E97596">
        <w:t>°F</w:t>
      </w:r>
      <w:r w:rsidR="00932661">
        <w:t xml:space="preserve"> </w:t>
      </w:r>
      <w:r w:rsidR="00541945" w:rsidRPr="00932661">
        <w:t xml:space="preserve">to </w:t>
      </w:r>
      <w:r w:rsidR="001F015A" w:rsidRPr="001F015A">
        <w:rPr>
          <w:highlight w:val="yellow"/>
        </w:rPr>
        <w:t>XX</w:t>
      </w:r>
      <w:r w:rsidRPr="00E97596">
        <w:t>°F</w:t>
      </w:r>
      <w:r w:rsidR="00ED7226">
        <w:t>,</w:t>
      </w:r>
      <w:r w:rsidRPr="00E97596">
        <w:t xml:space="preserve"> with an average temperature</w:t>
      </w:r>
      <w:r w:rsidR="00BB18CE" w:rsidRPr="00E97596">
        <w:t xml:space="preserve"> of </w:t>
      </w:r>
      <w:r w:rsidR="001F015A" w:rsidRPr="001F015A">
        <w:rPr>
          <w:highlight w:val="yellow"/>
        </w:rPr>
        <w:t>XX</w:t>
      </w:r>
      <w:r w:rsidRPr="00E97596">
        <w:t>°F</w:t>
      </w:r>
      <w:r w:rsidR="005F5F6F" w:rsidRPr="00E97596">
        <w:rPr>
          <w:bCs/>
        </w:rPr>
        <w:t xml:space="preserve">. </w:t>
      </w:r>
      <w:r w:rsidRPr="00744574">
        <w:rPr>
          <w:highlight w:val="yellow"/>
        </w:rPr>
        <w:t>Because</w:t>
      </w:r>
      <w:r w:rsidR="00ED7226">
        <w:rPr>
          <w:highlight w:val="yellow"/>
        </w:rPr>
        <w:t>,</w:t>
      </w:r>
      <w:r w:rsidRPr="00744574">
        <w:rPr>
          <w:highlight w:val="yellow"/>
        </w:rPr>
        <w:t xml:space="preserve"> even on warm days</w:t>
      </w:r>
      <w:r w:rsidR="00ED7226">
        <w:rPr>
          <w:highlight w:val="yellow"/>
        </w:rPr>
        <w:t>,</w:t>
      </w:r>
      <w:r w:rsidRPr="00744574">
        <w:rPr>
          <w:highlight w:val="yellow"/>
        </w:rPr>
        <w:t xml:space="preserve"> a significant drop in temperature after sunset by as much as</w:t>
      </w:r>
      <w:r w:rsidR="001F015A" w:rsidRPr="00744574">
        <w:rPr>
          <w:highlight w:val="yellow"/>
        </w:rPr>
        <w:t xml:space="preserve"> 20</w:t>
      </w:r>
      <w:r w:rsidRPr="00744574">
        <w:rPr>
          <w:highlight w:val="yellow"/>
        </w:rPr>
        <w:t>°F can occur, there is a risk of cold stress/injury</w:t>
      </w:r>
      <w:r w:rsidR="005F5F6F" w:rsidRPr="00744574">
        <w:rPr>
          <w:highlight w:val="yellow"/>
        </w:rPr>
        <w:t>.</w:t>
      </w:r>
      <w:r w:rsidR="005F5F6F" w:rsidRPr="00E97596">
        <w:t xml:space="preserve"> </w:t>
      </w:r>
      <w:r w:rsidRPr="00E97596">
        <w:t xml:space="preserve">The risk assessment for Non-Freezing Cold Injuries (NFCI), such as chilblain, trench foot, and hypothermia, is </w:t>
      </w:r>
      <w:r w:rsidR="00744574">
        <w:rPr>
          <w:highlight w:val="yellow"/>
        </w:rPr>
        <w:t>l</w:t>
      </w:r>
      <w:r w:rsidRPr="00744574">
        <w:rPr>
          <w:highlight w:val="yellow"/>
        </w:rPr>
        <w:t>ow</w:t>
      </w:r>
      <w:r w:rsidRPr="00E97596">
        <w:t xml:space="preserve"> based on historical temperature and precipitation data</w:t>
      </w:r>
      <w:r w:rsidR="005F5F6F" w:rsidRPr="00E97596">
        <w:t xml:space="preserve">. </w:t>
      </w:r>
      <w:r w:rsidRPr="00E97596">
        <w:t xml:space="preserve">Frostbite is </w:t>
      </w:r>
      <w:r w:rsidRPr="00744574">
        <w:rPr>
          <w:highlight w:val="yellow"/>
        </w:rPr>
        <w:t>unlikely</w:t>
      </w:r>
      <w:r w:rsidRPr="00E97596">
        <w:t xml:space="preserve"> to occur because temperatures </w:t>
      </w:r>
      <w:r w:rsidR="00BB18CE" w:rsidRPr="00744574">
        <w:rPr>
          <w:highlight w:val="yellow"/>
        </w:rPr>
        <w:t>do not</w:t>
      </w:r>
      <w:r w:rsidRPr="00744574">
        <w:rPr>
          <w:highlight w:val="yellow"/>
        </w:rPr>
        <w:t xml:space="preserve"> drop below freezing</w:t>
      </w:r>
      <w:r w:rsidR="005F5F6F" w:rsidRPr="00E97596">
        <w:t xml:space="preserve">. </w:t>
      </w:r>
      <w:r w:rsidRPr="0073077C">
        <w:rPr>
          <w:highlight w:val="yellow"/>
        </w:rPr>
        <w:t>However, personnel may encounter significantly lower temperatures during field operations at higher altitudes</w:t>
      </w:r>
      <w:r w:rsidR="005F5F6F" w:rsidRPr="0073077C">
        <w:rPr>
          <w:highlight w:val="yellow"/>
        </w:rPr>
        <w:t>.</w:t>
      </w:r>
      <w:r w:rsidR="005F5F6F" w:rsidRPr="00E97596">
        <w:t xml:space="preserve"> </w:t>
      </w:r>
      <w:r w:rsidR="00E20353" w:rsidRPr="00B81A87">
        <w:rPr>
          <w:color w:val="0070C0"/>
        </w:rPr>
        <w:t>[</w:t>
      </w:r>
      <w:r w:rsidR="00375CCD" w:rsidRPr="00B81A87">
        <w:rPr>
          <w:color w:val="0070C0"/>
        </w:rPr>
        <w:t>Delete this sentence if there are no higher altitudes for your POEMS location(s).]</w:t>
      </w:r>
      <w:r w:rsidR="00030E00" w:rsidRPr="00B81A87">
        <w:rPr>
          <w:color w:val="0070C0"/>
        </w:rPr>
        <w:t xml:space="preserve"> </w:t>
      </w:r>
      <w:r w:rsidRPr="00E97596">
        <w:t>As with heat stress/injuries, cold stress/injuries are largely dependent on operational and individual factors instead of environmental factors alone</w:t>
      </w:r>
      <w:r w:rsidR="00A174C4" w:rsidRPr="00E97596">
        <w:rPr>
          <w:bCs/>
        </w:rPr>
        <w:t xml:space="preserve">. </w:t>
      </w:r>
    </w:p>
    <w:p w14:paraId="6E1B7304" w14:textId="77777777" w:rsidR="00D279EF" w:rsidRPr="00E97596" w:rsidRDefault="00D279EF" w:rsidP="002F0040"/>
    <w:p w14:paraId="4BA9E0A2" w14:textId="62C4DFDB" w:rsidR="00CA4F36" w:rsidRPr="00E97596" w:rsidRDefault="00CA4F36" w:rsidP="00FD4769">
      <w:pPr>
        <w:pStyle w:val="Heading3"/>
      </w:pPr>
      <w:bookmarkStart w:id="80" w:name="_Hlk126756250"/>
      <w:r w:rsidRPr="00E97596">
        <w:lastRenderedPageBreak/>
        <w:t xml:space="preserve">Short-term </w:t>
      </w:r>
      <w:r w:rsidR="00AA65FA" w:rsidRPr="00E97596">
        <w:t>Health Risks</w:t>
      </w:r>
      <w:r w:rsidRPr="00E97596">
        <w:t>:</w:t>
      </w:r>
    </w:p>
    <w:p w14:paraId="69AD24D5" w14:textId="5F4DB3B5" w:rsidR="00CA4F36" w:rsidRDefault="00CA4F36" w:rsidP="002F0040"/>
    <w:p w14:paraId="5F52B680" w14:textId="5292DDB0" w:rsidR="00D279EF" w:rsidRDefault="00D279EF" w:rsidP="002F0040">
      <w:r w:rsidRPr="00E97596">
        <w:rPr>
          <w:b/>
        </w:rPr>
        <w:t>Low</w:t>
      </w:r>
      <w:r w:rsidR="00FE1639">
        <w:t xml:space="preserve">. </w:t>
      </w:r>
      <w:r w:rsidRPr="00E97596">
        <w:t xml:space="preserve">The </w:t>
      </w:r>
      <w:r w:rsidR="005976DA">
        <w:t>short-term</w:t>
      </w:r>
      <w:r w:rsidR="005976DA" w:rsidRPr="00E97596">
        <w:t xml:space="preserve"> </w:t>
      </w:r>
      <w:r w:rsidRPr="00E97596">
        <w:t>risk of cold injury is Low</w:t>
      </w:r>
      <w:r w:rsidR="005F5F6F" w:rsidRPr="00E97596">
        <w:t>.</w:t>
      </w:r>
      <w:r w:rsidR="005F5F6F" w:rsidRPr="00CA3B4A">
        <w:t xml:space="preserve"> </w:t>
      </w:r>
      <w:r w:rsidR="00535D77" w:rsidRPr="00DE7242">
        <w:t xml:space="preserve">Confidence in the health risk estimate is </w:t>
      </w:r>
      <w:r w:rsidR="00535D77" w:rsidRPr="00744574">
        <w:rPr>
          <w:highlight w:val="yellow"/>
        </w:rPr>
        <w:t>low</w:t>
      </w:r>
      <w:r w:rsidR="00535D77" w:rsidRPr="00DE7242">
        <w:t xml:space="preserve"> </w:t>
      </w:r>
      <w:r w:rsidR="00535D77" w:rsidRPr="00DE7242">
        <w:rPr>
          <w:color w:val="000000"/>
        </w:rPr>
        <w:t>(</w:t>
      </w:r>
      <w:r w:rsidR="00535D77" w:rsidRPr="00744574">
        <w:t xml:space="preserve">Reference </w:t>
      </w:r>
      <w:r w:rsidR="00B96600" w:rsidRPr="00FE51B3">
        <w:rPr>
          <w:highlight w:val="yellow"/>
        </w:rPr>
        <w:t>XX</w:t>
      </w:r>
      <w:r w:rsidR="00535D77" w:rsidRPr="00744574">
        <w:t>, Table 3-6</w:t>
      </w:r>
      <w:r w:rsidR="00535D77" w:rsidRPr="00744574">
        <w:rPr>
          <w:color w:val="000000"/>
        </w:rPr>
        <w:t>)</w:t>
      </w:r>
      <w:r w:rsidR="00535D77" w:rsidRPr="00744574">
        <w:t>.</w:t>
      </w:r>
    </w:p>
    <w:p w14:paraId="42D4988E" w14:textId="7C4C697D" w:rsidR="005976DA" w:rsidRDefault="005976DA" w:rsidP="002F0040"/>
    <w:p w14:paraId="1A77D97F" w14:textId="73B9E56F" w:rsidR="005976DA" w:rsidRDefault="005976DA" w:rsidP="0011747E">
      <w:pPr>
        <w:pStyle w:val="Heading3"/>
      </w:pPr>
      <w:r>
        <w:t xml:space="preserve">Long-term </w:t>
      </w:r>
      <w:r w:rsidR="00AA65FA">
        <w:t>Health Risks</w:t>
      </w:r>
      <w:r>
        <w:t>:</w:t>
      </w:r>
    </w:p>
    <w:p w14:paraId="1534BA65" w14:textId="69FB64E4" w:rsidR="005976DA" w:rsidRDefault="005976DA" w:rsidP="002F0040"/>
    <w:p w14:paraId="6C5A6F71" w14:textId="3E5A197B" w:rsidR="005976DA" w:rsidRPr="004B1812" w:rsidRDefault="005976DA" w:rsidP="002F0040">
      <w:r w:rsidRPr="00E97596">
        <w:rPr>
          <w:b/>
        </w:rPr>
        <w:t>Low</w:t>
      </w:r>
      <w:r>
        <w:t xml:space="preserve">. </w:t>
      </w:r>
      <w:r w:rsidRPr="00E97596">
        <w:t xml:space="preserve">The </w:t>
      </w:r>
      <w:r>
        <w:t xml:space="preserve">long-term </w:t>
      </w:r>
      <w:r w:rsidRPr="00E97596">
        <w:t>risk of cold injury is Low.</w:t>
      </w:r>
      <w:r w:rsidRPr="00CA3B4A">
        <w:t xml:space="preserve"> </w:t>
      </w:r>
      <w:r w:rsidRPr="00DE7242">
        <w:t xml:space="preserve">Confidence in the health risk estimate is </w:t>
      </w:r>
      <w:r w:rsidRPr="00744574">
        <w:rPr>
          <w:highlight w:val="yellow"/>
        </w:rPr>
        <w:t>low</w:t>
      </w:r>
      <w:r w:rsidRPr="00DE7242">
        <w:t xml:space="preserve"> </w:t>
      </w:r>
      <w:r w:rsidRPr="00DE7242">
        <w:rPr>
          <w:color w:val="000000"/>
        </w:rPr>
        <w:t>(</w:t>
      </w:r>
      <w:r w:rsidRPr="00744574">
        <w:t xml:space="preserve">Reference </w:t>
      </w:r>
      <w:r w:rsidRPr="00FE51B3">
        <w:rPr>
          <w:highlight w:val="yellow"/>
        </w:rPr>
        <w:t>XX</w:t>
      </w:r>
      <w:r w:rsidRPr="00744574">
        <w:t>, Table 3-6</w:t>
      </w:r>
      <w:r w:rsidRPr="00744574">
        <w:rPr>
          <w:color w:val="000000"/>
        </w:rPr>
        <w:t>)</w:t>
      </w:r>
      <w:r w:rsidRPr="00744574">
        <w:t>.</w:t>
      </w:r>
    </w:p>
    <w:bookmarkEnd w:id="80"/>
    <w:p w14:paraId="2761BAD7" w14:textId="77777777" w:rsidR="005F76BB" w:rsidRPr="00F83550" w:rsidRDefault="005F76BB" w:rsidP="002F0040"/>
    <w:p w14:paraId="3D26A24D" w14:textId="61667968" w:rsidR="001868ED" w:rsidRPr="00F83550" w:rsidRDefault="001868ED" w:rsidP="0010791E">
      <w:pPr>
        <w:pStyle w:val="Heading1"/>
        <w:rPr>
          <w:sz w:val="22"/>
          <w:szCs w:val="22"/>
        </w:rPr>
      </w:pPr>
      <w:r w:rsidRPr="00F83550">
        <w:t>Noise</w:t>
      </w:r>
    </w:p>
    <w:p w14:paraId="4ABA8290" w14:textId="77777777" w:rsidR="00502CB7" w:rsidRDefault="00502CB7" w:rsidP="002F0040"/>
    <w:p w14:paraId="03D7C1FA" w14:textId="44279BAC" w:rsidR="00534B91" w:rsidRPr="008D1457" w:rsidRDefault="00534B91" w:rsidP="002F0040">
      <w:r>
        <w:t xml:space="preserve">For the protection of all military personnel and noise-exposed civilian personnel from hearing loss resulting from hazardous occupational and operational noise exposure, the DoD set forth a military noise standard for </w:t>
      </w:r>
      <w:r w:rsidRPr="008D1457">
        <w:t xml:space="preserve">continuous </w:t>
      </w:r>
      <w:r>
        <w:t>and</w:t>
      </w:r>
      <w:r w:rsidRPr="008D1457">
        <w:t xml:space="preserve"> intermittent </w:t>
      </w:r>
      <w:r w:rsidR="008938AD">
        <w:t xml:space="preserve">(i.e., steady state) </w:t>
      </w:r>
      <w:r w:rsidRPr="008D1457">
        <w:t>noise</w:t>
      </w:r>
      <w:r>
        <w:t xml:space="preserve"> exposure</w:t>
      </w:r>
      <w:r w:rsidR="007F5454">
        <w:t xml:space="preserve"> and for impulse noise </w:t>
      </w:r>
      <w:r w:rsidR="008938AD">
        <w:t xml:space="preserve">(i.e., noise lasting less than one second) </w:t>
      </w:r>
      <w:r w:rsidR="007F5454">
        <w:t>exposure</w:t>
      </w:r>
      <w:r>
        <w:t>.</w:t>
      </w:r>
      <w:r w:rsidRPr="008D1457">
        <w:t xml:space="preserve"> </w:t>
      </w:r>
      <w:r>
        <w:t xml:space="preserve">The standard </w:t>
      </w:r>
      <w:r w:rsidR="008938AD">
        <w:t>for continuous and intermittent</w:t>
      </w:r>
      <w:r w:rsidR="007F5454">
        <w:t xml:space="preserve"> </w:t>
      </w:r>
      <w:r>
        <w:t xml:space="preserve">noise is </w:t>
      </w:r>
      <w:r w:rsidRPr="008D1457">
        <w:t>85 decibels on the A-weighted scale (d</w:t>
      </w:r>
      <w:r>
        <w:t>B</w:t>
      </w:r>
      <w:r w:rsidRPr="008D1457">
        <w:t xml:space="preserve">A), as an </w:t>
      </w:r>
      <w:r w:rsidR="00755BEC">
        <w:t>8</w:t>
      </w:r>
      <w:r w:rsidR="005F7DDD">
        <w:t>-</w:t>
      </w:r>
      <w:r w:rsidRPr="008D1457">
        <w:t xml:space="preserve">hour time-weighted average. The A-weighted scale of noise measurement is used because it </w:t>
      </w:r>
      <w:r w:rsidR="00541945">
        <w:t>approximates</w:t>
      </w:r>
      <w:r w:rsidR="00541945" w:rsidRPr="008D1457">
        <w:t xml:space="preserve"> </w:t>
      </w:r>
      <w:r w:rsidRPr="008D1457">
        <w:t xml:space="preserve">the human ear’s response to sound. </w:t>
      </w:r>
      <w:r w:rsidR="00CA6B8A">
        <w:t>The standard for impulse noise sound pressure levels is 140 decibels peak (</w:t>
      </w:r>
      <w:proofErr w:type="spellStart"/>
      <w:r w:rsidR="00CA6B8A">
        <w:t>dBP</w:t>
      </w:r>
      <w:proofErr w:type="spellEnd"/>
      <w:r w:rsidR="00CA6B8A">
        <w:t xml:space="preserve">). </w:t>
      </w:r>
      <w:r w:rsidRPr="008D1457">
        <w:t xml:space="preserve">All </w:t>
      </w:r>
      <w:r>
        <w:t>personnel</w:t>
      </w:r>
      <w:r w:rsidRPr="008D1457">
        <w:t xml:space="preserve"> </w:t>
      </w:r>
      <w:r>
        <w:t>that are</w:t>
      </w:r>
      <w:r w:rsidRPr="008D1457">
        <w:t xml:space="preserve"> exposed to </w:t>
      </w:r>
      <w:r w:rsidR="00CA6B8A">
        <w:t xml:space="preserve">continuous and intermittent </w:t>
      </w:r>
      <w:r w:rsidRPr="008D1457">
        <w:t xml:space="preserve">noise levels </w:t>
      </w:r>
      <w:r>
        <w:t>at or above</w:t>
      </w:r>
      <w:r w:rsidRPr="008D1457">
        <w:t xml:space="preserve"> </w:t>
      </w:r>
      <w:r>
        <w:t>85 dBA</w:t>
      </w:r>
      <w:r w:rsidRPr="008D1457">
        <w:t xml:space="preserve"> </w:t>
      </w:r>
      <w:r>
        <w:t xml:space="preserve">for at least </w:t>
      </w:r>
      <w:r w:rsidR="00755BEC">
        <w:t xml:space="preserve">1 </w:t>
      </w:r>
      <w:r>
        <w:t xml:space="preserve">day per year </w:t>
      </w:r>
      <w:r w:rsidR="00CA6B8A">
        <w:t xml:space="preserve">or to impulse noise 140 </w:t>
      </w:r>
      <w:proofErr w:type="spellStart"/>
      <w:r w:rsidR="00CA6B8A">
        <w:t>dBP</w:t>
      </w:r>
      <w:proofErr w:type="spellEnd"/>
      <w:r w:rsidR="00CA6B8A">
        <w:t xml:space="preserve"> sound pressure or greater </w:t>
      </w:r>
      <w:r>
        <w:t>must be</w:t>
      </w:r>
      <w:r w:rsidRPr="008D1457">
        <w:t xml:space="preserve"> enrolled in the hearing conservation program</w:t>
      </w:r>
      <w:r>
        <w:t xml:space="preserve"> </w:t>
      </w:r>
      <w:r w:rsidR="00541945">
        <w:t xml:space="preserve">and use hearing protection when indicated </w:t>
      </w:r>
      <w:r>
        <w:t xml:space="preserve">(Reference </w:t>
      </w:r>
      <w:r w:rsidRPr="002D5E3D">
        <w:rPr>
          <w:highlight w:val="yellow"/>
        </w:rPr>
        <w:t>XX</w:t>
      </w:r>
      <w:r>
        <w:t>)</w:t>
      </w:r>
      <w:r w:rsidR="00FE1639">
        <w:t>.</w:t>
      </w:r>
    </w:p>
    <w:p w14:paraId="073957C9" w14:textId="77777777" w:rsidR="00534B91" w:rsidRPr="008D1457" w:rsidRDefault="00534B91" w:rsidP="002F0040"/>
    <w:p w14:paraId="359799CE" w14:textId="1B933BBD" w:rsidR="00030E00" w:rsidRPr="00B81A87" w:rsidRDefault="00030E00" w:rsidP="002F0040">
      <w:pPr>
        <w:rPr>
          <w:b/>
          <w:bCs/>
          <w:color w:val="0070C0"/>
        </w:rPr>
      </w:pPr>
      <w:r w:rsidRPr="00B81A87">
        <w:rPr>
          <w:b/>
          <w:bCs/>
          <w:color w:val="0070C0"/>
        </w:rPr>
        <w:t>[If flight</w:t>
      </w:r>
      <w:r w:rsidR="00932546" w:rsidRPr="00B81A87">
        <w:rPr>
          <w:b/>
          <w:bCs/>
          <w:color w:val="0070C0"/>
        </w:rPr>
        <w:t xml:space="preserve"> line and helicopter landing zones exist, include this </w:t>
      </w:r>
      <w:r w:rsidR="00094B63" w:rsidRPr="00B81A87">
        <w:rPr>
          <w:b/>
          <w:bCs/>
          <w:color w:val="0070C0"/>
        </w:rPr>
        <w:t xml:space="preserve">next </w:t>
      </w:r>
      <w:r w:rsidR="00932546" w:rsidRPr="00B81A87">
        <w:rPr>
          <w:b/>
          <w:bCs/>
          <w:color w:val="0070C0"/>
        </w:rPr>
        <w:t>paragraph and Noise of Military Weapons and Ground Vehicles</w:t>
      </w:r>
      <w:r w:rsidR="00094B63" w:rsidRPr="00B81A87">
        <w:rPr>
          <w:b/>
          <w:bCs/>
          <w:color w:val="0070C0"/>
        </w:rPr>
        <w:t>, Planes, and Ships 2019 Reference.]</w:t>
      </w:r>
    </w:p>
    <w:p w14:paraId="1F51AC24" w14:textId="77777777" w:rsidR="00030E00" w:rsidRDefault="00030E00" w:rsidP="002F0040"/>
    <w:p w14:paraId="70B201D5" w14:textId="13F45446" w:rsidR="00534B91" w:rsidRDefault="00534B91" w:rsidP="002F0040">
      <w:r w:rsidRPr="008D1457">
        <w:t>Aircraft operations have the potential to cause significant noise hazard to flight line and helicopter landing zone support personnel</w:t>
      </w:r>
      <w:r>
        <w:t xml:space="preserve">. </w:t>
      </w:r>
      <w:r w:rsidRPr="008D1457">
        <w:rPr>
          <w:color w:val="000000" w:themeColor="text1"/>
        </w:rPr>
        <w:t>Support personnel working in the flight line area of the aircraft operations may be exposed to noise levels</w:t>
      </w:r>
      <w:r w:rsidR="003936C1">
        <w:rPr>
          <w:color w:val="000000" w:themeColor="text1"/>
        </w:rPr>
        <w:t xml:space="preserve"> well</w:t>
      </w:r>
      <w:r w:rsidRPr="008D1457">
        <w:rPr>
          <w:color w:val="000000" w:themeColor="text1"/>
        </w:rPr>
        <w:t xml:space="preserve"> </w:t>
      </w:r>
      <w:r w:rsidR="00870C95">
        <w:rPr>
          <w:color w:val="000000" w:themeColor="text1"/>
        </w:rPr>
        <w:t>above</w:t>
      </w:r>
      <w:r w:rsidRPr="008D1457">
        <w:rPr>
          <w:color w:val="000000" w:themeColor="text1"/>
        </w:rPr>
        <w:t xml:space="preserve"> 100 d</w:t>
      </w:r>
      <w:r>
        <w:rPr>
          <w:color w:val="000000" w:themeColor="text1"/>
        </w:rPr>
        <w:t>B</w:t>
      </w:r>
      <w:r w:rsidRPr="008D1457">
        <w:rPr>
          <w:color w:val="000000" w:themeColor="text1"/>
        </w:rPr>
        <w:t>A, during intermediate and full power runs by fixed wing aircraft</w:t>
      </w:r>
      <w:r>
        <w:rPr>
          <w:color w:val="000000" w:themeColor="text1"/>
        </w:rPr>
        <w:t xml:space="preserve">. </w:t>
      </w:r>
      <w:r w:rsidRPr="008D1457">
        <w:t xml:space="preserve">Because of the potential noise hazard inherent </w:t>
      </w:r>
      <w:r w:rsidR="006B26BD" w:rsidRPr="008D1457">
        <w:t>in-flight</w:t>
      </w:r>
      <w:r w:rsidRPr="008D1457">
        <w:t xml:space="preserve"> line operations and the helicopter landing zone, personnel are required to wear dual hearing protection</w:t>
      </w:r>
      <w:r w:rsidR="003936C1">
        <w:t xml:space="preserve"> (Reference </w:t>
      </w:r>
      <w:r w:rsidR="003936C1" w:rsidRPr="003936C1">
        <w:rPr>
          <w:highlight w:val="yellow"/>
        </w:rPr>
        <w:t>XX</w:t>
      </w:r>
      <w:r w:rsidR="003936C1">
        <w:t>)</w:t>
      </w:r>
      <w:r>
        <w:t>.</w:t>
      </w:r>
    </w:p>
    <w:p w14:paraId="05CABB6E" w14:textId="77777777" w:rsidR="00534B91" w:rsidRPr="00F83550" w:rsidRDefault="00534B91" w:rsidP="002F0040"/>
    <w:p w14:paraId="4D8A672D" w14:textId="0595DDCF" w:rsidR="004C78EB" w:rsidRPr="00F83550" w:rsidRDefault="004C78EB" w:rsidP="00580B36">
      <w:pPr>
        <w:pStyle w:val="Heading2"/>
      </w:pPr>
      <w:r w:rsidRPr="00F83550">
        <w:t>Continuous</w:t>
      </w:r>
    </w:p>
    <w:p w14:paraId="2028453B" w14:textId="6194DD21" w:rsidR="00B34CB5" w:rsidRDefault="00B34CB5" w:rsidP="002F0040"/>
    <w:p w14:paraId="4E989BCA" w14:textId="5AF5922A" w:rsidR="005F5F6F" w:rsidRPr="00CA3B4A" w:rsidRDefault="002600D3" w:rsidP="002F0040">
      <w:commentRangeStart w:id="81"/>
      <w:r w:rsidRPr="00E97596">
        <w:t>No</w:t>
      </w:r>
      <w:commentRangeEnd w:id="81"/>
      <w:r w:rsidR="00744574">
        <w:rPr>
          <w:rStyle w:val="CommentReference"/>
        </w:rPr>
        <w:commentReference w:id="81"/>
      </w:r>
      <w:r w:rsidRPr="00E97596">
        <w:t xml:space="preserve"> specific hazard sources were documented in the </w:t>
      </w:r>
      <w:r w:rsidR="001B7B97">
        <w:t>DOEHRS</w:t>
      </w:r>
      <w:r w:rsidRPr="00E97596">
        <w:t xml:space="preserve"> from </w:t>
      </w:r>
      <w:r w:rsidR="002D1773" w:rsidRPr="00F83550">
        <w:rPr>
          <w:highlight w:val="yellow"/>
        </w:rPr>
        <w:t>Day Month Year</w:t>
      </w:r>
      <w:r w:rsidRPr="00E97596">
        <w:t xml:space="preserve"> through </w:t>
      </w:r>
      <w:r w:rsidR="002D1773" w:rsidRPr="00F83550">
        <w:rPr>
          <w:highlight w:val="yellow"/>
        </w:rPr>
        <w:t>Day Month Year</w:t>
      </w:r>
      <w:r w:rsidRPr="00E97596">
        <w:t>.</w:t>
      </w:r>
    </w:p>
    <w:p w14:paraId="20821C9E" w14:textId="77777777" w:rsidR="00AF6C16" w:rsidRPr="00CA3B4A" w:rsidRDefault="00AF6C16" w:rsidP="002F0040"/>
    <w:p w14:paraId="6212D113" w14:textId="5816F417" w:rsidR="004C78EB" w:rsidRPr="00CA3B4A" w:rsidRDefault="004C78EB" w:rsidP="00580B36">
      <w:pPr>
        <w:pStyle w:val="Heading2"/>
      </w:pPr>
      <w:r w:rsidRPr="00CA3B4A">
        <w:t>Impulse</w:t>
      </w:r>
    </w:p>
    <w:p w14:paraId="3BB4E97A" w14:textId="77777777" w:rsidR="00190414" w:rsidRDefault="00190414" w:rsidP="002F0040"/>
    <w:p w14:paraId="04435380" w14:textId="2453F338" w:rsidR="00A83B54" w:rsidRPr="00F83550" w:rsidRDefault="00A83B54" w:rsidP="002F0040">
      <w:r w:rsidRPr="00CA3B4A">
        <w:t xml:space="preserve">No specific hazard sources were documented in the </w:t>
      </w:r>
      <w:r w:rsidR="001B7B97">
        <w:t>DOEHRS</w:t>
      </w:r>
      <w:r w:rsidRPr="00CA3B4A">
        <w:t xml:space="preserve"> from </w:t>
      </w:r>
      <w:r w:rsidR="002D1773" w:rsidRPr="00F83550">
        <w:rPr>
          <w:highlight w:val="yellow"/>
        </w:rPr>
        <w:t>Day Month Year</w:t>
      </w:r>
      <w:r w:rsidR="00612BC9" w:rsidRPr="00CA3B4A">
        <w:t xml:space="preserve"> through </w:t>
      </w:r>
      <w:r w:rsidR="002D1773" w:rsidRPr="00F83550">
        <w:rPr>
          <w:highlight w:val="yellow"/>
        </w:rPr>
        <w:t>Day Month Year</w:t>
      </w:r>
      <w:r w:rsidR="00612BC9" w:rsidRPr="00CA3B4A">
        <w:t>.</w:t>
      </w:r>
    </w:p>
    <w:p w14:paraId="25E70861" w14:textId="77777777" w:rsidR="00D846D8" w:rsidRDefault="00D846D8" w:rsidP="002F0040"/>
    <w:p w14:paraId="0F854ADF" w14:textId="77777777" w:rsidR="00755BEC" w:rsidRDefault="00755BEC" w:rsidP="002F0040"/>
    <w:p w14:paraId="02CB398E" w14:textId="77777777" w:rsidR="00755BEC" w:rsidRDefault="00755BEC" w:rsidP="002F0040"/>
    <w:p w14:paraId="2F0B7069" w14:textId="77777777" w:rsidR="00755BEC" w:rsidRPr="00F83550" w:rsidRDefault="00755BEC" w:rsidP="002F0040"/>
    <w:p w14:paraId="4555D461" w14:textId="447987FE" w:rsidR="001868ED" w:rsidRPr="00F83550" w:rsidRDefault="001868ED" w:rsidP="0010791E">
      <w:pPr>
        <w:pStyle w:val="Heading1"/>
        <w:rPr>
          <w:sz w:val="22"/>
          <w:szCs w:val="22"/>
        </w:rPr>
      </w:pPr>
      <w:r w:rsidRPr="00F83550">
        <w:lastRenderedPageBreak/>
        <w:t>Unique Incidents/Concerns</w:t>
      </w:r>
    </w:p>
    <w:p w14:paraId="165F36DD" w14:textId="77777777" w:rsidR="005F76BB" w:rsidRPr="00F83550" w:rsidRDefault="005F76BB" w:rsidP="002F0040"/>
    <w:p w14:paraId="426DABCF" w14:textId="4B6B5360" w:rsidR="004C78EB" w:rsidRPr="00F83550" w:rsidRDefault="004C78EB" w:rsidP="00580B36">
      <w:pPr>
        <w:pStyle w:val="Heading2"/>
      </w:pPr>
      <w:r w:rsidRPr="00F83550">
        <w:t xml:space="preserve">Potential </w:t>
      </w:r>
      <w:r w:rsidR="00AA65FA" w:rsidRPr="00F83550">
        <w:t>Environmental Contamination Sources</w:t>
      </w:r>
    </w:p>
    <w:p w14:paraId="1FEA076D" w14:textId="77777777" w:rsidR="005F76BB" w:rsidRPr="00F83550" w:rsidRDefault="005F76BB" w:rsidP="002F0040"/>
    <w:p w14:paraId="702BA89A" w14:textId="1683ED59" w:rsidR="005F76BB" w:rsidRPr="00CA3B4A" w:rsidRDefault="005F76BB" w:rsidP="002F0040">
      <w:r w:rsidRPr="00CA3B4A">
        <w:t xml:space="preserve">DoD personnel are exposed to various chemical, physical, ergonomic, and biological hazards </w:t>
      </w:r>
      <w:r w:rsidR="007C5646" w:rsidRPr="00CA3B4A">
        <w:t>while</w:t>
      </w:r>
      <w:r w:rsidRPr="00CA3B4A">
        <w:t xml:space="preserve"> performing their mission</w:t>
      </w:r>
      <w:r w:rsidR="002C6D14" w:rsidRPr="00CA3B4A">
        <w:t xml:space="preserve">. </w:t>
      </w:r>
      <w:r w:rsidRPr="00CA3B4A">
        <w:t>These types of hazards depend on the mission of the unit and the operations and tasks which the personnel are required to perform to complete their mission</w:t>
      </w:r>
      <w:r w:rsidR="002C6D14" w:rsidRPr="00CA3B4A">
        <w:t xml:space="preserve">. </w:t>
      </w:r>
      <w:r w:rsidRPr="00CA3B4A">
        <w:t xml:space="preserve">The </w:t>
      </w:r>
      <w:r w:rsidR="00DA68B2" w:rsidRPr="00CA3B4A">
        <w:t xml:space="preserve">health </w:t>
      </w:r>
      <w:r w:rsidRPr="00CA3B4A">
        <w:t>risk</w:t>
      </w:r>
      <w:r w:rsidR="00D201AE">
        <w:t>s</w:t>
      </w:r>
      <w:r w:rsidRPr="00CA3B4A">
        <w:t xml:space="preserve"> associated with these hazards depend on </w:t>
      </w:r>
      <w:r w:rsidR="007C5646" w:rsidRPr="00CA3B4A">
        <w:t>several</w:t>
      </w:r>
      <w:r w:rsidRPr="00CA3B4A">
        <w:t xml:space="preserve"> </w:t>
      </w:r>
      <w:r w:rsidR="00541945">
        <w:t xml:space="preserve">factors </w:t>
      </w:r>
      <w:r w:rsidRPr="00CA3B4A">
        <w:t>including what materials are used, how long the exposure last</w:t>
      </w:r>
      <w:r w:rsidR="00C83224">
        <w:t>s</w:t>
      </w:r>
      <w:r w:rsidRPr="00CA3B4A">
        <w:t xml:space="preserve">, what is done to the material, the environment </w:t>
      </w:r>
      <w:r w:rsidR="00541945">
        <w:t>in which</w:t>
      </w:r>
      <w:r w:rsidR="00541945" w:rsidRPr="00CA3B4A">
        <w:t xml:space="preserve"> </w:t>
      </w:r>
      <w:r w:rsidRPr="00CA3B4A">
        <w:t xml:space="preserve">the task or operation is performed, and what </w:t>
      </w:r>
      <w:r w:rsidR="00C83224">
        <w:t>industrial hygiene and environmental</w:t>
      </w:r>
      <w:r w:rsidR="00C83224" w:rsidRPr="00CA3B4A">
        <w:t xml:space="preserve"> </w:t>
      </w:r>
      <w:r w:rsidRPr="00CA3B4A">
        <w:t>controls are used</w:t>
      </w:r>
      <w:r w:rsidR="002C6D14" w:rsidRPr="00CA3B4A">
        <w:t xml:space="preserve">. </w:t>
      </w:r>
      <w:r w:rsidRPr="00CA3B4A">
        <w:t xml:space="preserve">The hazards can include exposures to heavy metal particulates </w:t>
      </w:r>
      <w:r w:rsidR="00D201AE">
        <w:t xml:space="preserve">and fumes </w:t>
      </w:r>
      <w:r w:rsidRPr="00CA3B4A">
        <w:t>(</w:t>
      </w:r>
      <w:r w:rsidR="00ED26D1" w:rsidRPr="00CA3B4A">
        <w:t xml:space="preserve">e.g., </w:t>
      </w:r>
      <w:r w:rsidRPr="00CA3B4A">
        <w:t>lead, cadmium, manganese, chromium, and iron oxide), solvents, fuels, oils, and gases (</w:t>
      </w:r>
      <w:r w:rsidR="00ED26D1" w:rsidRPr="00CA3B4A">
        <w:t xml:space="preserve">e.g., </w:t>
      </w:r>
      <w:r w:rsidRPr="00CA3B4A">
        <w:t>carbon monoxide, carbon dioxide, oxides of nitrogen, and oxides of sulfur)</w:t>
      </w:r>
      <w:r w:rsidR="002C6D14" w:rsidRPr="00CA3B4A">
        <w:t xml:space="preserve">. </w:t>
      </w:r>
      <w:r w:rsidRPr="00CA3B4A">
        <w:t>Most of these exposures occur when performing maintenance task</w:t>
      </w:r>
      <w:r w:rsidR="00F922F5">
        <w:t>s</w:t>
      </w:r>
      <w:r w:rsidRPr="00CA3B4A">
        <w:t xml:space="preserve"> such as painting, grinding</w:t>
      </w:r>
      <w:r w:rsidR="00C02467" w:rsidRPr="00CA3B4A">
        <w:t>,</w:t>
      </w:r>
      <w:r w:rsidRPr="00CA3B4A">
        <w:t xml:space="preserve"> welding, engine repair, or movement through contaminated areas</w:t>
      </w:r>
      <w:r w:rsidR="002C6D14" w:rsidRPr="00CA3B4A">
        <w:t xml:space="preserve">. </w:t>
      </w:r>
      <w:r w:rsidRPr="00CA3B4A">
        <w:t>Exposures to these occupational hazards can occur through inhalation (air), skin contact, or ingestion; however</w:t>
      </w:r>
      <w:r w:rsidR="00C83224">
        <w:t>,</w:t>
      </w:r>
      <w:r w:rsidRPr="00CA3B4A">
        <w:t xml:space="preserve"> exposures through air are </w:t>
      </w:r>
      <w:r w:rsidR="00313D30" w:rsidRPr="00CA3B4A">
        <w:t xml:space="preserve">generally </w:t>
      </w:r>
      <w:r w:rsidRPr="00CA3B4A">
        <w:t xml:space="preserve">associated with the highest </w:t>
      </w:r>
      <w:r w:rsidR="00C83224">
        <w:t xml:space="preserve">adverse </w:t>
      </w:r>
      <w:r w:rsidR="00DA68B2" w:rsidRPr="00CA3B4A">
        <w:t xml:space="preserve">health </w:t>
      </w:r>
      <w:r w:rsidRPr="00CA3B4A">
        <w:t>risk</w:t>
      </w:r>
      <w:r w:rsidR="00541945">
        <w:t>s</w:t>
      </w:r>
      <w:r w:rsidRPr="00CA3B4A">
        <w:t>.</w:t>
      </w:r>
    </w:p>
    <w:p w14:paraId="55F00B23" w14:textId="77777777" w:rsidR="000D291B" w:rsidRPr="00CA3B4A" w:rsidRDefault="000D291B" w:rsidP="002F0040"/>
    <w:p w14:paraId="55211E16" w14:textId="70766FBA" w:rsidR="004C78EB" w:rsidRPr="00CA3B4A" w:rsidRDefault="004C78EB" w:rsidP="00580B36">
      <w:pPr>
        <w:pStyle w:val="Heading2"/>
      </w:pPr>
      <w:r w:rsidRPr="00CA3B4A">
        <w:t>Waste Sites/Waste Disposal</w:t>
      </w:r>
    </w:p>
    <w:p w14:paraId="28825A77" w14:textId="77777777" w:rsidR="009540CC" w:rsidRPr="00CA3B4A" w:rsidRDefault="009540CC" w:rsidP="002F0040"/>
    <w:p w14:paraId="6C051C41" w14:textId="39DB15F9" w:rsidR="002600D3" w:rsidRPr="002600D3" w:rsidRDefault="002600D3" w:rsidP="002F0040">
      <w:pPr>
        <w:rPr>
          <w:rFonts w:eastAsiaTheme="majorEastAsia"/>
        </w:rPr>
      </w:pPr>
      <w:r w:rsidRPr="001F015A">
        <w:rPr>
          <w:rFonts w:eastAsiaTheme="majorEastAsia"/>
          <w:highlight w:val="yellow"/>
        </w:rPr>
        <w:t>Hazardous waste was collected on the base camp and transported to a hazardous waste disposal site</w:t>
      </w:r>
      <w:r w:rsidR="00535D77" w:rsidRPr="001F015A">
        <w:rPr>
          <w:rFonts w:eastAsiaTheme="majorEastAsia"/>
          <w:highlight w:val="yellow"/>
        </w:rPr>
        <w:t xml:space="preserve">. </w:t>
      </w:r>
      <w:r w:rsidRPr="001F015A">
        <w:rPr>
          <w:rFonts w:eastAsiaTheme="majorEastAsia"/>
          <w:highlight w:val="yellow"/>
        </w:rPr>
        <w:t>C</w:t>
      </w:r>
      <w:r w:rsidR="00C5386E" w:rsidRPr="001F015A">
        <w:rPr>
          <w:rFonts w:eastAsiaTheme="majorEastAsia"/>
          <w:highlight w:val="yellow"/>
        </w:rPr>
        <w:t>ontractors collected trash and took it out of the cam</w:t>
      </w:r>
      <w:r w:rsidR="00FD7D9E" w:rsidRPr="001F015A">
        <w:rPr>
          <w:rFonts w:eastAsiaTheme="majorEastAsia"/>
          <w:highlight w:val="yellow"/>
        </w:rPr>
        <w:t xml:space="preserve">p to a site about </w:t>
      </w:r>
      <w:r w:rsidR="00603D80">
        <w:rPr>
          <w:rFonts w:eastAsiaTheme="majorEastAsia"/>
          <w:highlight w:val="yellow"/>
        </w:rPr>
        <w:t>1</w:t>
      </w:r>
      <w:r w:rsidR="00603D80" w:rsidRPr="001F015A">
        <w:rPr>
          <w:rFonts w:eastAsiaTheme="majorEastAsia"/>
          <w:highlight w:val="yellow"/>
        </w:rPr>
        <w:t xml:space="preserve"> </w:t>
      </w:r>
      <w:r w:rsidR="00FD7D9E" w:rsidRPr="001F015A">
        <w:rPr>
          <w:rFonts w:eastAsiaTheme="majorEastAsia"/>
          <w:highlight w:val="yellow"/>
        </w:rPr>
        <w:t>kilometer</w:t>
      </w:r>
      <w:r w:rsidR="00C5386E" w:rsidRPr="001F015A">
        <w:rPr>
          <w:rFonts w:eastAsiaTheme="majorEastAsia"/>
          <w:highlight w:val="yellow"/>
        </w:rPr>
        <w:t xml:space="preserve"> away</w:t>
      </w:r>
      <w:r w:rsidR="00C44C3C" w:rsidRPr="00C44C3C">
        <w:rPr>
          <w:rFonts w:eastAsiaTheme="majorEastAsia"/>
          <w:highlight w:val="yellow"/>
        </w:rPr>
        <w:t xml:space="preserve">. Regulated medical waste </w:t>
      </w:r>
      <w:r w:rsidR="004968FD">
        <w:rPr>
          <w:rFonts w:eastAsiaTheme="majorEastAsia"/>
          <w:highlight w:val="yellow"/>
        </w:rPr>
        <w:t xml:space="preserve">(RMW) </w:t>
      </w:r>
      <w:r w:rsidR="00C44C3C" w:rsidRPr="00C44C3C">
        <w:rPr>
          <w:rFonts w:eastAsiaTheme="majorEastAsia"/>
          <w:highlight w:val="yellow"/>
        </w:rPr>
        <w:t>was disposed onsite using a</w:t>
      </w:r>
      <w:r w:rsidR="00603D80">
        <w:rPr>
          <w:rFonts w:eastAsiaTheme="majorEastAsia"/>
          <w:highlight w:val="yellow"/>
        </w:rPr>
        <w:t>n</w:t>
      </w:r>
      <w:r w:rsidR="00C44C3C" w:rsidRPr="00C44C3C">
        <w:rPr>
          <w:rFonts w:eastAsiaTheme="majorEastAsia"/>
          <w:highlight w:val="yellow"/>
        </w:rPr>
        <w:t xml:space="preserve"> RMW incinerator</w:t>
      </w:r>
      <w:r w:rsidR="00C5386E">
        <w:rPr>
          <w:rFonts w:eastAsiaTheme="majorEastAsia"/>
        </w:rPr>
        <w:t xml:space="preserve"> </w:t>
      </w:r>
      <w:r w:rsidR="00C5386E" w:rsidRPr="00E97596">
        <w:rPr>
          <w:rFonts w:eastAsiaTheme="majorEastAsia"/>
        </w:rPr>
        <w:t>(</w:t>
      </w:r>
      <w:r w:rsidR="00AB2155">
        <w:rPr>
          <w:rFonts w:eastAsiaTheme="majorEastAsia"/>
        </w:rPr>
        <w:t xml:space="preserve">Reference </w:t>
      </w:r>
      <w:r w:rsidR="001F015A" w:rsidRPr="001F015A">
        <w:rPr>
          <w:rFonts w:eastAsiaTheme="majorEastAsia"/>
          <w:highlight w:val="yellow"/>
        </w:rPr>
        <w:t>XX</w:t>
      </w:r>
      <w:r w:rsidR="00C5386E">
        <w:rPr>
          <w:rFonts w:eastAsiaTheme="majorEastAsia"/>
        </w:rPr>
        <w:t>)</w:t>
      </w:r>
      <w:r w:rsidRPr="002600D3">
        <w:rPr>
          <w:rFonts w:eastAsiaTheme="majorEastAsia"/>
        </w:rPr>
        <w:t>.</w:t>
      </w:r>
    </w:p>
    <w:p w14:paraId="33056C34" w14:textId="77777777" w:rsidR="00631081" w:rsidRPr="00CA3B4A" w:rsidRDefault="00631081" w:rsidP="002F0040"/>
    <w:p w14:paraId="6D29F01F" w14:textId="7C9B6CDC" w:rsidR="004C78EB" w:rsidRPr="00445399" w:rsidRDefault="004C78EB" w:rsidP="00580B36">
      <w:pPr>
        <w:pStyle w:val="Heading2"/>
      </w:pPr>
      <w:bookmarkStart w:id="82" w:name="_Toc268587364"/>
      <w:r w:rsidRPr="00CA3B4A">
        <w:t>Fuel/</w:t>
      </w:r>
      <w:r w:rsidR="00AA65FA" w:rsidRPr="00CA3B4A">
        <w:t>Petroleum Products</w:t>
      </w:r>
      <w:r w:rsidRPr="00CA3B4A">
        <w:t>/</w:t>
      </w:r>
      <w:r w:rsidR="00AA65FA" w:rsidRPr="00CA3B4A">
        <w:t xml:space="preserve">Industrial Chemical Spills </w:t>
      </w:r>
      <w:r w:rsidR="00AA65FA" w:rsidRPr="00445399">
        <w:t xml:space="preserve"> </w:t>
      </w:r>
    </w:p>
    <w:bookmarkEnd w:id="82"/>
    <w:p w14:paraId="6B6F4A1A" w14:textId="77777777" w:rsidR="00631081" w:rsidRPr="00CA3B4A" w:rsidRDefault="00631081" w:rsidP="002F0040"/>
    <w:p w14:paraId="277AB37E" w14:textId="62970F0D" w:rsidR="006C25EB" w:rsidRPr="00CA3B4A" w:rsidRDefault="002600D3" w:rsidP="002F0040">
      <w:pPr>
        <w:rPr>
          <w:szCs w:val="22"/>
        </w:rPr>
      </w:pPr>
      <w:r w:rsidRPr="001F015A">
        <w:rPr>
          <w:rFonts w:eastAsiaTheme="majorEastAsia"/>
          <w:highlight w:val="yellow"/>
        </w:rPr>
        <w:t xml:space="preserve">Two </w:t>
      </w:r>
      <w:r w:rsidR="00F12CFE">
        <w:rPr>
          <w:rFonts w:eastAsiaTheme="majorEastAsia"/>
          <w:highlight w:val="yellow"/>
        </w:rPr>
        <w:t>jet propellant 8 (</w:t>
      </w:r>
      <w:r w:rsidRPr="001F015A">
        <w:rPr>
          <w:rFonts w:eastAsiaTheme="majorEastAsia"/>
          <w:highlight w:val="yellow"/>
        </w:rPr>
        <w:t>JP-8</w:t>
      </w:r>
      <w:r w:rsidR="00F12CFE">
        <w:rPr>
          <w:rFonts w:eastAsiaTheme="majorEastAsia"/>
          <w:highlight w:val="yellow"/>
        </w:rPr>
        <w:t>)</w:t>
      </w:r>
      <w:r w:rsidRPr="001F015A">
        <w:rPr>
          <w:rFonts w:eastAsiaTheme="majorEastAsia"/>
          <w:highlight w:val="yellow"/>
        </w:rPr>
        <w:t xml:space="preserve"> </w:t>
      </w:r>
      <w:r w:rsidR="003668B1" w:rsidRPr="001F015A">
        <w:rPr>
          <w:rFonts w:eastAsiaTheme="majorEastAsia"/>
          <w:highlight w:val="yellow"/>
        </w:rPr>
        <w:t>10,000-liter</w:t>
      </w:r>
      <w:r w:rsidRPr="001F015A">
        <w:rPr>
          <w:rFonts w:eastAsiaTheme="majorEastAsia"/>
          <w:highlight w:val="yellow"/>
        </w:rPr>
        <w:t xml:space="preserve"> fuel tanks were located near the motor pool on the base camp. No spills were documented in the OEHSA</w:t>
      </w:r>
      <w:r w:rsidR="001F015A">
        <w:rPr>
          <w:rFonts w:eastAsiaTheme="majorEastAsia"/>
        </w:rPr>
        <w:t xml:space="preserve"> (Reference</w:t>
      </w:r>
      <w:r w:rsidR="00E97596" w:rsidRPr="00E97596">
        <w:rPr>
          <w:rFonts w:eastAsiaTheme="majorEastAsia"/>
        </w:rPr>
        <w:t xml:space="preserve"> </w:t>
      </w:r>
      <w:r w:rsidR="001F015A" w:rsidRPr="001F015A">
        <w:rPr>
          <w:rFonts w:eastAsiaTheme="majorEastAsia"/>
          <w:highlight w:val="yellow"/>
        </w:rPr>
        <w:t>XX</w:t>
      </w:r>
      <w:r w:rsidR="00E97596" w:rsidRPr="00E97596">
        <w:rPr>
          <w:rFonts w:eastAsiaTheme="majorEastAsia"/>
        </w:rPr>
        <w:t>)</w:t>
      </w:r>
      <w:r w:rsidRPr="00E97596">
        <w:rPr>
          <w:rFonts w:eastAsiaTheme="majorEastAsia"/>
        </w:rPr>
        <w:t>.</w:t>
      </w:r>
    </w:p>
    <w:p w14:paraId="2944BFEB" w14:textId="77777777" w:rsidR="002D7304" w:rsidRPr="00A174C4" w:rsidRDefault="002D7304" w:rsidP="002F0040">
      <w:pPr>
        <w:rPr>
          <w:rFonts w:eastAsiaTheme="majorEastAsia"/>
          <w:highlight w:val="yellow"/>
        </w:rPr>
      </w:pPr>
    </w:p>
    <w:p w14:paraId="1FD5D8DC" w14:textId="19A1D63E" w:rsidR="004C78EB" w:rsidRPr="000039E4" w:rsidRDefault="004C78EB" w:rsidP="00580B36">
      <w:pPr>
        <w:pStyle w:val="Heading2"/>
      </w:pPr>
      <w:r w:rsidRPr="000039E4">
        <w:t>Pesticides/Pest Control:</w:t>
      </w:r>
    </w:p>
    <w:p w14:paraId="293B695E" w14:textId="77777777" w:rsidR="005F76BB" w:rsidRPr="000039E4" w:rsidRDefault="005F76BB" w:rsidP="002F0040"/>
    <w:p w14:paraId="39CF3657" w14:textId="10312407" w:rsidR="00A174C4" w:rsidRPr="000039E4" w:rsidRDefault="00A174C4" w:rsidP="002F0040">
      <w:r w:rsidRPr="000039E4">
        <w:t xml:space="preserve">The health risk of exposure to pesticide residues is considered within the framework of typical residential exposure scenarios, based on the types of equipment, techniques, and pesticide products that have been employed, such as enclosed bait stations for rodenticides, various handheld equipment for spot treatments of insecticides and herbicides, and </w:t>
      </w:r>
      <w:r w:rsidR="3FC9D100">
        <w:t>several</w:t>
      </w:r>
      <w:r w:rsidRPr="000039E4">
        <w:t xml:space="preserve"> ready-to-use (RTU) methods such as aerosol cans and baits. </w:t>
      </w:r>
      <w:commentRangeStart w:id="83"/>
      <w:r w:rsidRPr="000039E4">
        <w:t xml:space="preserve">The control of rodents required </w:t>
      </w:r>
      <w:proofErr w:type="gramStart"/>
      <w:r w:rsidRPr="000039E4">
        <w:t>the majority of</w:t>
      </w:r>
      <w:proofErr w:type="gramEnd"/>
      <w:r w:rsidRPr="000039E4">
        <w:t xml:space="preserve"> pest management inputs, with the acutely toxic rodenticides staged as solid formulation lethal baits placed in tamper-resistant bait stations indoors and outdoors throughout cantonment areas. Nuisance insects, including biting and stinging insects such as bees, wasps, and ants, also required significant pest management inputs. Use of pesticides targeting against these pests generally involved selection of compounds with low mammalian toxicity and short-term residual</w:t>
      </w:r>
      <w:r w:rsidR="00CC32CA">
        <w:t>,</w:t>
      </w:r>
      <w:r w:rsidRPr="000039E4">
        <w:t xml:space="preserve"> using pinpoint rather than broadcast application techniques. </w:t>
      </w:r>
      <w:commentRangeEnd w:id="83"/>
      <w:r w:rsidR="00BF5A33">
        <w:rPr>
          <w:rStyle w:val="CommentReference"/>
        </w:rPr>
        <w:commentReference w:id="83"/>
      </w:r>
    </w:p>
    <w:p w14:paraId="5D64790D" w14:textId="77777777" w:rsidR="00A174C4" w:rsidRPr="000039E4" w:rsidRDefault="00A174C4" w:rsidP="002F0040"/>
    <w:p w14:paraId="7284D291" w14:textId="3F4D6C5D" w:rsidR="00A174C4" w:rsidRPr="000039E4" w:rsidRDefault="00A174C4" w:rsidP="00FD4769">
      <w:pPr>
        <w:pStyle w:val="Heading3"/>
      </w:pPr>
      <w:r w:rsidRPr="000039E4">
        <w:t>Rodenticides</w:t>
      </w:r>
    </w:p>
    <w:p w14:paraId="6C8F05A0" w14:textId="77777777" w:rsidR="00A174C4" w:rsidRPr="000039E4" w:rsidRDefault="00A174C4" w:rsidP="002F0040"/>
    <w:p w14:paraId="45D7BC31" w14:textId="5B45376E" w:rsidR="00A174C4" w:rsidRPr="000039E4" w:rsidRDefault="00A174C4" w:rsidP="002F0040">
      <w:bookmarkStart w:id="84" w:name="_Hlk126750395"/>
      <w:r w:rsidRPr="00465A21">
        <w:rPr>
          <w:highlight w:val="yellow"/>
        </w:rPr>
        <w:t xml:space="preserve">Nothing was </w:t>
      </w:r>
      <w:r w:rsidR="00BD2C8E">
        <w:rPr>
          <w:highlight w:val="yellow"/>
        </w:rPr>
        <w:t xml:space="preserve">found to document </w:t>
      </w:r>
      <w:r w:rsidR="00445399">
        <w:rPr>
          <w:highlight w:val="yellow"/>
        </w:rPr>
        <w:t xml:space="preserve">how </w:t>
      </w:r>
      <w:r w:rsidRPr="00465A21">
        <w:rPr>
          <w:highlight w:val="yellow"/>
        </w:rPr>
        <w:t>rodent</w:t>
      </w:r>
      <w:r w:rsidR="00445399">
        <w:rPr>
          <w:highlight w:val="yellow"/>
        </w:rPr>
        <w:t xml:space="preserve"> control was performed</w:t>
      </w:r>
      <w:r w:rsidRPr="00465A21">
        <w:rPr>
          <w:highlight w:val="yellow"/>
        </w:rPr>
        <w:t>.</w:t>
      </w:r>
    </w:p>
    <w:bookmarkEnd w:id="84"/>
    <w:p w14:paraId="517F87C8" w14:textId="2F2D7699" w:rsidR="00A174C4" w:rsidRPr="000039E4" w:rsidRDefault="00A174C4" w:rsidP="00FD4769">
      <w:pPr>
        <w:pStyle w:val="Heading3"/>
      </w:pPr>
      <w:r w:rsidRPr="000039E4">
        <w:lastRenderedPageBreak/>
        <w:t>Insecticides</w:t>
      </w:r>
    </w:p>
    <w:p w14:paraId="2488F52D" w14:textId="77777777" w:rsidR="00A174C4" w:rsidRPr="000039E4" w:rsidRDefault="00A174C4" w:rsidP="002F0040"/>
    <w:p w14:paraId="4F3724CA" w14:textId="3F083F03" w:rsidR="00BD2C8E" w:rsidRPr="000039E4" w:rsidRDefault="00BD2C8E" w:rsidP="00BD2C8E">
      <w:r w:rsidRPr="00465A21">
        <w:rPr>
          <w:highlight w:val="yellow"/>
        </w:rPr>
        <w:t xml:space="preserve">Nothing was </w:t>
      </w:r>
      <w:r>
        <w:rPr>
          <w:highlight w:val="yellow"/>
        </w:rPr>
        <w:t>found to document how insect control was performed</w:t>
      </w:r>
      <w:r w:rsidRPr="00465A21">
        <w:rPr>
          <w:highlight w:val="yellow"/>
        </w:rPr>
        <w:t>.</w:t>
      </w:r>
    </w:p>
    <w:p w14:paraId="6EA4D535" w14:textId="77777777" w:rsidR="00A174C4" w:rsidRPr="000039E4" w:rsidRDefault="00A174C4" w:rsidP="002F0040"/>
    <w:p w14:paraId="4494322A" w14:textId="18674CE4" w:rsidR="00A174C4" w:rsidRPr="000039E4" w:rsidRDefault="00A174C4" w:rsidP="00FD4769">
      <w:pPr>
        <w:pStyle w:val="Heading3"/>
      </w:pPr>
      <w:r w:rsidRPr="000039E4">
        <w:t>Herbicides</w:t>
      </w:r>
    </w:p>
    <w:p w14:paraId="04553BEB" w14:textId="77777777" w:rsidR="00A174C4" w:rsidRPr="000039E4" w:rsidRDefault="00A174C4" w:rsidP="002F0040"/>
    <w:p w14:paraId="7F351904" w14:textId="3DA45646" w:rsidR="00BD2C8E" w:rsidRPr="000039E4" w:rsidRDefault="00BD2C8E" w:rsidP="00BD2C8E">
      <w:r w:rsidRPr="00465A21">
        <w:rPr>
          <w:highlight w:val="yellow"/>
        </w:rPr>
        <w:t xml:space="preserve">Nothing was </w:t>
      </w:r>
      <w:r>
        <w:rPr>
          <w:highlight w:val="yellow"/>
        </w:rPr>
        <w:t>found to document how weed control was performed</w:t>
      </w:r>
      <w:r w:rsidRPr="00465A21">
        <w:rPr>
          <w:highlight w:val="yellow"/>
        </w:rPr>
        <w:t>.</w:t>
      </w:r>
    </w:p>
    <w:p w14:paraId="064403B9" w14:textId="77777777" w:rsidR="00964205" w:rsidRPr="000039E4" w:rsidRDefault="00964205" w:rsidP="002F0040"/>
    <w:p w14:paraId="7227DB7D" w14:textId="2703C715" w:rsidR="00F50DB1" w:rsidRPr="00F50DB1" w:rsidRDefault="00F50DB1" w:rsidP="00580B36">
      <w:pPr>
        <w:pStyle w:val="Heading2"/>
      </w:pPr>
      <w:r w:rsidRPr="000039E4">
        <w:t>Asbestos</w:t>
      </w:r>
    </w:p>
    <w:p w14:paraId="25025071" w14:textId="77777777" w:rsidR="00964205" w:rsidRPr="000039E4" w:rsidRDefault="00964205" w:rsidP="002F0040"/>
    <w:p w14:paraId="5391A002" w14:textId="193C6B7E" w:rsidR="00964205" w:rsidRPr="00E97596" w:rsidRDefault="00FB5666" w:rsidP="002F0040">
      <w:r w:rsidRPr="00E97596">
        <w:t xml:space="preserve">No specific hazard sources were documented in the </w:t>
      </w:r>
      <w:r w:rsidR="001B7B97">
        <w:t>DOEHRS</w:t>
      </w:r>
      <w:r w:rsidRPr="00E97596">
        <w:t xml:space="preserve"> from </w:t>
      </w:r>
      <w:r w:rsidR="002D1773" w:rsidRPr="00F83550">
        <w:rPr>
          <w:highlight w:val="yellow"/>
        </w:rPr>
        <w:t>Day Month Year</w:t>
      </w:r>
      <w:r w:rsidR="00FD7D9E" w:rsidRPr="00E97596">
        <w:t xml:space="preserve"> </w:t>
      </w:r>
      <w:r w:rsidR="00623705" w:rsidRPr="00E97596">
        <w:t xml:space="preserve">through </w:t>
      </w:r>
      <w:r w:rsidR="002D1773" w:rsidRPr="00F83550">
        <w:rPr>
          <w:highlight w:val="yellow"/>
        </w:rPr>
        <w:t>Day Month Year</w:t>
      </w:r>
      <w:r w:rsidR="00623705" w:rsidRPr="00E97596">
        <w:t>.</w:t>
      </w:r>
    </w:p>
    <w:p w14:paraId="37245444" w14:textId="77777777" w:rsidR="00623705" w:rsidRPr="00E97596" w:rsidRDefault="00623705" w:rsidP="002F0040"/>
    <w:p w14:paraId="59C59C14" w14:textId="4F2C1423" w:rsidR="00F50DB1" w:rsidRPr="00F50DB1" w:rsidRDefault="00F50DB1" w:rsidP="00580B36">
      <w:pPr>
        <w:pStyle w:val="Heading2"/>
      </w:pPr>
      <w:r w:rsidRPr="00E97596">
        <w:t>Lead Based Paint</w:t>
      </w:r>
    </w:p>
    <w:p w14:paraId="35F23D00" w14:textId="77777777" w:rsidR="00964205" w:rsidRPr="00E97596" w:rsidRDefault="00964205" w:rsidP="002F0040"/>
    <w:p w14:paraId="380F46A2" w14:textId="7995DA07" w:rsidR="00FD7D9E" w:rsidRPr="000039E4" w:rsidRDefault="00FD7D9E" w:rsidP="002F0040">
      <w:r w:rsidRPr="00E97596">
        <w:t xml:space="preserve">No specific hazard sources were documented in the </w:t>
      </w:r>
      <w:r w:rsidR="001B7B97">
        <w:t>DOEHRS</w:t>
      </w:r>
      <w:r w:rsidRPr="00E97596">
        <w:t xml:space="preserve"> from </w:t>
      </w:r>
      <w:r w:rsidR="002D1773" w:rsidRPr="00F83550">
        <w:rPr>
          <w:highlight w:val="yellow"/>
        </w:rPr>
        <w:t>Day Month Year</w:t>
      </w:r>
      <w:r w:rsidRPr="00E97596">
        <w:t xml:space="preserve"> through </w:t>
      </w:r>
      <w:r w:rsidR="002D1773" w:rsidRPr="00F83550">
        <w:rPr>
          <w:highlight w:val="yellow"/>
        </w:rPr>
        <w:t>Day Month Year</w:t>
      </w:r>
      <w:r w:rsidRPr="00E97596">
        <w:t>.</w:t>
      </w:r>
    </w:p>
    <w:p w14:paraId="4C6FF1D1" w14:textId="77777777" w:rsidR="00623705" w:rsidRPr="00F83550" w:rsidRDefault="00623705" w:rsidP="002F0040"/>
    <w:p w14:paraId="258B9CA1" w14:textId="15AB3C2C" w:rsidR="00F50DB1" w:rsidRPr="00E62A6A" w:rsidRDefault="00F50DB1" w:rsidP="00580B36">
      <w:pPr>
        <w:pStyle w:val="Heading2"/>
        <w:rPr>
          <w:highlight w:val="yellow"/>
        </w:rPr>
      </w:pPr>
      <w:commentRangeStart w:id="85"/>
      <w:r w:rsidRPr="00E62A6A">
        <w:rPr>
          <w:highlight w:val="yellow"/>
        </w:rPr>
        <w:t>Burn</w:t>
      </w:r>
      <w:commentRangeEnd w:id="85"/>
      <w:r w:rsidR="00694939" w:rsidRPr="00E62A6A">
        <w:rPr>
          <w:rStyle w:val="CommentReference"/>
          <w:bCs w:val="0"/>
          <w:iCs w:val="0"/>
          <w:highlight w:val="yellow"/>
        </w:rPr>
        <w:commentReference w:id="85"/>
      </w:r>
      <w:r w:rsidRPr="00E62A6A">
        <w:rPr>
          <w:highlight w:val="yellow"/>
        </w:rPr>
        <w:t xml:space="preserve"> Pit</w:t>
      </w:r>
    </w:p>
    <w:p w14:paraId="143585B2" w14:textId="77777777" w:rsidR="00D52A5C" w:rsidRDefault="00D52A5C" w:rsidP="002F0040"/>
    <w:p w14:paraId="293BC9C6" w14:textId="0EAF5AF8" w:rsidR="009C0C03" w:rsidRDefault="00694939" w:rsidP="002F0040">
      <w:pPr>
        <w:rPr>
          <w:b/>
          <w:bCs/>
          <w:color w:val="0070C0"/>
        </w:rPr>
      </w:pPr>
      <w:r w:rsidRPr="00694939">
        <w:rPr>
          <w:b/>
          <w:bCs/>
          <w:color w:val="0070C0"/>
        </w:rPr>
        <w:t>[</w:t>
      </w:r>
      <w:r>
        <w:rPr>
          <w:b/>
          <w:bCs/>
          <w:color w:val="0070C0"/>
        </w:rPr>
        <w:t xml:space="preserve">Include this section </w:t>
      </w:r>
      <w:r w:rsidR="00D727E7">
        <w:rPr>
          <w:b/>
          <w:bCs/>
          <w:color w:val="0070C0"/>
          <w:u w:val="single"/>
        </w:rPr>
        <w:t>ONLY</w:t>
      </w:r>
      <w:r>
        <w:rPr>
          <w:b/>
          <w:bCs/>
          <w:color w:val="0070C0"/>
        </w:rPr>
        <w:t xml:space="preserve"> </w:t>
      </w:r>
      <w:r w:rsidR="00901D69">
        <w:rPr>
          <w:b/>
          <w:bCs/>
          <w:color w:val="0070C0"/>
        </w:rPr>
        <w:t xml:space="preserve">when </w:t>
      </w:r>
      <w:r>
        <w:rPr>
          <w:b/>
          <w:bCs/>
          <w:color w:val="0070C0"/>
        </w:rPr>
        <w:t>a base camp has burn pits/burn barrel</w:t>
      </w:r>
      <w:r w:rsidR="00901D69">
        <w:rPr>
          <w:b/>
          <w:bCs/>
          <w:color w:val="0070C0"/>
        </w:rPr>
        <w:t xml:space="preserve"> or</w:t>
      </w:r>
      <w:r>
        <w:rPr>
          <w:b/>
          <w:bCs/>
          <w:color w:val="0070C0"/>
        </w:rPr>
        <w:t xml:space="preserve"> is known to be affected by a nearby non-U</w:t>
      </w:r>
      <w:r w:rsidR="00721167">
        <w:rPr>
          <w:b/>
          <w:bCs/>
          <w:color w:val="0070C0"/>
        </w:rPr>
        <w:t>.</w:t>
      </w:r>
      <w:r>
        <w:rPr>
          <w:b/>
          <w:bCs/>
          <w:color w:val="0070C0"/>
        </w:rPr>
        <w:t>S</w:t>
      </w:r>
      <w:r w:rsidR="00721167">
        <w:rPr>
          <w:b/>
          <w:bCs/>
          <w:color w:val="0070C0"/>
        </w:rPr>
        <w:t>.</w:t>
      </w:r>
      <w:r>
        <w:rPr>
          <w:b/>
          <w:bCs/>
          <w:color w:val="0070C0"/>
        </w:rPr>
        <w:t xml:space="preserve"> burn pit.</w:t>
      </w:r>
      <w:r w:rsidR="00A17196">
        <w:rPr>
          <w:b/>
          <w:bCs/>
          <w:color w:val="0070C0"/>
        </w:rPr>
        <w:t xml:space="preserve"> See example paragraph below</w:t>
      </w:r>
      <w:r w:rsidR="0071232F">
        <w:rPr>
          <w:b/>
          <w:bCs/>
          <w:color w:val="0070C0"/>
        </w:rPr>
        <w:t>.</w:t>
      </w:r>
      <w:r>
        <w:rPr>
          <w:b/>
          <w:bCs/>
          <w:color w:val="0070C0"/>
        </w:rPr>
        <w:t>]</w:t>
      </w:r>
    </w:p>
    <w:p w14:paraId="70352070" w14:textId="77777777" w:rsidR="009C0C03" w:rsidRPr="009C0C03" w:rsidRDefault="009C0C03" w:rsidP="009C0C03">
      <w:pPr>
        <w:rPr>
          <w:rFonts w:cs="Arial"/>
          <w:color w:val="2E2E2E"/>
          <w:shd w:val="clear" w:color="auto" w:fill="FFFFFF"/>
        </w:rPr>
      </w:pPr>
    </w:p>
    <w:p w14:paraId="6E1D2045" w14:textId="338598D6" w:rsidR="0071232F" w:rsidRDefault="00B60E5B" w:rsidP="00B60E5B">
      <w:pPr>
        <w:pStyle w:val="BodyText"/>
        <w:spacing w:after="0"/>
        <w:rPr>
          <w:rStyle w:val="eop"/>
          <w:rFonts w:cs="Arial"/>
        </w:rPr>
      </w:pPr>
      <w:r w:rsidRPr="00E450DA">
        <w:rPr>
          <w:highlight w:val="yellow"/>
        </w:rPr>
        <w:t>Burn pits were not used at Camp XXX during the years XXXX – XXXX</w:t>
      </w:r>
      <w:r w:rsidRPr="00E450DA">
        <w:rPr>
          <w:rStyle w:val="eop"/>
          <w:rFonts w:cs="Arial"/>
          <w:highlight w:val="yellow"/>
        </w:rPr>
        <w:t xml:space="preserve">. However, an Iraqi burn pit was identified in operation in </w:t>
      </w:r>
      <w:proofErr w:type="gramStart"/>
      <w:r w:rsidRPr="00E450DA">
        <w:rPr>
          <w:highlight w:val="yellow"/>
        </w:rPr>
        <w:t>XXXX</w:t>
      </w:r>
      <w:proofErr w:type="gramEnd"/>
      <w:r w:rsidRPr="00E450DA">
        <w:rPr>
          <w:rStyle w:val="eop"/>
          <w:rFonts w:cs="Arial"/>
          <w:highlight w:val="yellow"/>
        </w:rPr>
        <w:t xml:space="preserve"> and smoke was observed to drift onto the camp. Details of the burn pit location, the materials burned, and the times/durations of burning were not documented.</w:t>
      </w:r>
      <w:r>
        <w:rPr>
          <w:rStyle w:val="eop"/>
          <w:rFonts w:cs="Arial"/>
        </w:rPr>
        <w:t xml:space="preserve"> </w:t>
      </w:r>
    </w:p>
    <w:p w14:paraId="3A3D2C1A" w14:textId="77777777" w:rsidR="00B60E5B" w:rsidRPr="00B60E5B" w:rsidRDefault="00B60E5B" w:rsidP="00B60E5B">
      <w:pPr>
        <w:pStyle w:val="BodyText"/>
        <w:spacing w:after="0"/>
        <w:rPr>
          <w:rFonts w:cs="Arial"/>
        </w:rPr>
      </w:pPr>
    </w:p>
    <w:p w14:paraId="412A5E66" w14:textId="2401A4D4" w:rsidR="009C0C03" w:rsidRPr="009C0C03" w:rsidRDefault="009C0C03" w:rsidP="00B60E5B">
      <w:pPr>
        <w:rPr>
          <w:rFonts w:cs="Arial"/>
          <w:color w:val="2E2E2E"/>
          <w:shd w:val="clear" w:color="auto" w:fill="FFFFFF"/>
        </w:rPr>
      </w:pPr>
      <w:r w:rsidRPr="009C0C03">
        <w:rPr>
          <w:rFonts w:cs="Arial"/>
          <w:color w:val="2E2E2E"/>
          <w:shd w:val="clear" w:color="auto" w:fill="FFFFFF"/>
        </w:rPr>
        <w:t xml:space="preserve">While emissions from the burning of waste at or near deployment locations will increase concentrations of combustion-related airborne hazards, estimating the relative contribution of those hazards to a specific increase in risk to the health of </w:t>
      </w:r>
      <w:r w:rsidR="00491A85">
        <w:rPr>
          <w:rFonts w:cs="Arial"/>
          <w:color w:val="2E2E2E"/>
          <w:shd w:val="clear" w:color="auto" w:fill="FFFFFF"/>
        </w:rPr>
        <w:t>s</w:t>
      </w:r>
      <w:r w:rsidRPr="009C0C03">
        <w:rPr>
          <w:rFonts w:cs="Arial"/>
          <w:color w:val="2E2E2E"/>
          <w:shd w:val="clear" w:color="auto" w:fill="FFFFFF"/>
        </w:rPr>
        <w:t xml:space="preserve">ervice members is nearly impossible. Air samples used to support the health risk assessment capture the airborne hazards from all sources at the point of exposure, not only from the burn pit. During contingency operations, the air quality may be affected by combustion sources not typically encountered in a garrison environment (e.g., industry lacking emissions controls, local burning for heating homes and businesses, or combat- or natural disaster-related fires). </w:t>
      </w:r>
    </w:p>
    <w:p w14:paraId="117456AF" w14:textId="77777777" w:rsidR="009C0C03" w:rsidRPr="009C0C03" w:rsidRDefault="009C0C03" w:rsidP="009C0C03">
      <w:pPr>
        <w:rPr>
          <w:rFonts w:cs="Arial"/>
          <w:color w:val="2E2E2E"/>
          <w:shd w:val="clear" w:color="auto" w:fill="FFFFFF"/>
        </w:rPr>
      </w:pPr>
    </w:p>
    <w:p w14:paraId="372E3311" w14:textId="77777777" w:rsidR="009C0C03" w:rsidRDefault="009C0C03" w:rsidP="009C0C03">
      <w:pPr>
        <w:rPr>
          <w:rFonts w:cs="Arial"/>
          <w:color w:val="2E2E2E"/>
          <w:shd w:val="clear" w:color="auto" w:fill="FFFFFF"/>
        </w:rPr>
      </w:pPr>
      <w:r w:rsidRPr="009C0C03">
        <w:rPr>
          <w:rFonts w:cs="Arial"/>
          <w:color w:val="2E2E2E"/>
          <w:shd w:val="clear" w:color="auto" w:fill="FFFFFF"/>
        </w:rPr>
        <w:t>The population health risks presented in this POEMS describe—as far as practicable—the risks associated with exposure to the combined hazards that were measured in the ambient air. These risks are from all contributing sources and are not exclusive to burn pit emissions.</w:t>
      </w:r>
    </w:p>
    <w:p w14:paraId="06617990" w14:textId="77777777" w:rsidR="00CF009B" w:rsidRDefault="00CF009B" w:rsidP="009C0C03">
      <w:pPr>
        <w:rPr>
          <w:rFonts w:cs="Arial"/>
          <w:color w:val="2E2E2E"/>
          <w:shd w:val="clear" w:color="auto" w:fill="FFFFFF"/>
        </w:rPr>
      </w:pPr>
    </w:p>
    <w:p w14:paraId="37FA1BAF" w14:textId="5A26DE95" w:rsidR="00CF009B" w:rsidRPr="009C0C03" w:rsidRDefault="00CF009B" w:rsidP="009C0C03">
      <w:pPr>
        <w:rPr>
          <w:rFonts w:cs="Arial"/>
          <w:color w:val="2E2E2E"/>
          <w:shd w:val="clear" w:color="auto" w:fill="FFFFFF"/>
        </w:rPr>
      </w:pPr>
      <w:r w:rsidRPr="009C0C03">
        <w:rPr>
          <w:rFonts w:cs="Arial"/>
          <w:color w:val="2E2E2E"/>
          <w:shd w:val="clear" w:color="auto" w:fill="FFFFFF"/>
        </w:rPr>
        <w:t>Burn pit smoke cannot be evaluated independently from the ambient general air pollution. Burn pit smoke composition varies but of greatest concern are exposures to high levels of PM</w:t>
      </w:r>
      <w:r w:rsidRPr="00424E3D">
        <w:rPr>
          <w:rFonts w:cs="Arial"/>
          <w:color w:val="2E2E2E"/>
          <w:shd w:val="clear" w:color="auto" w:fill="FFFFFF"/>
          <w:vertAlign w:val="subscript"/>
        </w:rPr>
        <w:t>10</w:t>
      </w:r>
      <w:r w:rsidRPr="009C0C03">
        <w:rPr>
          <w:rFonts w:cs="Arial"/>
          <w:color w:val="2E2E2E"/>
          <w:shd w:val="clear" w:color="auto" w:fill="FFFFFF"/>
        </w:rPr>
        <w:t xml:space="preserve"> and PM</w:t>
      </w:r>
      <w:r w:rsidRPr="00424E3D">
        <w:rPr>
          <w:rFonts w:cs="Arial"/>
          <w:color w:val="2E2E2E"/>
          <w:shd w:val="clear" w:color="auto" w:fill="FFFFFF"/>
          <w:vertAlign w:val="subscript"/>
        </w:rPr>
        <w:t xml:space="preserve">2.5 </w:t>
      </w:r>
      <w:r w:rsidRPr="009C0C03">
        <w:rPr>
          <w:rFonts w:cs="Arial"/>
          <w:color w:val="2E2E2E"/>
          <w:shd w:val="clear" w:color="auto" w:fill="FFFFFF"/>
        </w:rPr>
        <w:t xml:space="preserve">in smoke. Particulate matter may result in mild to more serious short-term health effects (e.g., eye, nose or throat and lung irritation) in some personnel and certain subgroups. Although most short-term health effects from exposure to particulate matter and/or burn pit smoke should have resolved post-deployment, providers should nevertheless consider the </w:t>
      </w:r>
      <w:r w:rsidRPr="009C0C03">
        <w:rPr>
          <w:rFonts w:cs="Arial"/>
          <w:color w:val="2E2E2E"/>
          <w:shd w:val="clear" w:color="auto" w:fill="FFFFFF"/>
        </w:rPr>
        <w:lastRenderedPageBreak/>
        <w:t xml:space="preserve">relationship between deployment exposures and long-term current complaints. Some individuals may have sought treatment for acute respiratory irritation while deployed. Personnel who reported with symptoms or required treatment while at site(s) associated with burn pits should have exposure and treatment noted in the medical record (e.g., EMR and/or on a SF-600 paper record). Concerned or affected </w:t>
      </w:r>
      <w:r>
        <w:rPr>
          <w:rFonts w:cs="Arial"/>
          <w:color w:val="2E2E2E"/>
          <w:shd w:val="clear" w:color="auto" w:fill="FFFFFF"/>
        </w:rPr>
        <w:t>s</w:t>
      </w:r>
      <w:r w:rsidRPr="009C0C03">
        <w:rPr>
          <w:rFonts w:cs="Arial"/>
          <w:color w:val="2E2E2E"/>
          <w:shd w:val="clear" w:color="auto" w:fill="FFFFFF"/>
        </w:rPr>
        <w:t xml:space="preserve">ervice members, </w:t>
      </w:r>
      <w:r>
        <w:rPr>
          <w:rFonts w:cs="Arial"/>
          <w:color w:val="2E2E2E"/>
          <w:shd w:val="clear" w:color="auto" w:fill="FFFFFF"/>
        </w:rPr>
        <w:t>v</w:t>
      </w:r>
      <w:r w:rsidRPr="009C0C03">
        <w:rPr>
          <w:rFonts w:cs="Arial"/>
          <w:color w:val="2E2E2E"/>
          <w:shd w:val="clear" w:color="auto" w:fill="FFFFFF"/>
        </w:rPr>
        <w:t xml:space="preserve">eterans, and </w:t>
      </w:r>
      <w:r>
        <w:rPr>
          <w:rFonts w:cs="Arial"/>
          <w:color w:val="2E2E2E"/>
          <w:shd w:val="clear" w:color="auto" w:fill="FFFFFF"/>
        </w:rPr>
        <w:t>c</w:t>
      </w:r>
      <w:r w:rsidRPr="009C0C03">
        <w:rPr>
          <w:rFonts w:cs="Arial"/>
          <w:color w:val="2E2E2E"/>
          <w:shd w:val="clear" w:color="auto" w:fill="FFFFFF"/>
        </w:rPr>
        <w:t>ivilians can seek further medical evaluation. Medical providers should further consider the overall individual health status (e.g., any underlying conditions, an individual’s susceptibilities, medications, tobacco usage) and any potential unique individual exposures (such as occupational or specific personal sampling data) when assessing individual concerns.</w:t>
      </w:r>
      <w:r w:rsidR="003E30C7">
        <w:rPr>
          <w:rFonts w:cs="Arial"/>
          <w:color w:val="2E2E2E"/>
          <w:shd w:val="clear" w:color="auto" w:fill="FFFFFF"/>
        </w:rPr>
        <w:t xml:space="preserve"> </w:t>
      </w:r>
    </w:p>
    <w:p w14:paraId="0269F590" w14:textId="77777777" w:rsidR="009C0C03" w:rsidRPr="009C0C03" w:rsidRDefault="009C0C03" w:rsidP="009C0C03">
      <w:pPr>
        <w:rPr>
          <w:rFonts w:cs="Arial"/>
          <w:color w:val="2E2E2E"/>
          <w:shd w:val="clear" w:color="auto" w:fill="FFFFFF"/>
        </w:rPr>
      </w:pPr>
    </w:p>
    <w:p w14:paraId="35FE3562" w14:textId="4E9C32E3" w:rsidR="009C0C03" w:rsidRPr="009C0C03" w:rsidRDefault="009C0C03" w:rsidP="009C0C03">
      <w:pPr>
        <w:rPr>
          <w:rFonts w:cs="Arial"/>
          <w:color w:val="2E2E2E"/>
          <w:shd w:val="clear" w:color="auto" w:fill="FFFFFF"/>
        </w:rPr>
      </w:pPr>
      <w:r w:rsidRPr="009C0C03">
        <w:rPr>
          <w:rFonts w:cs="Arial"/>
          <w:color w:val="2E2E2E"/>
          <w:shd w:val="clear" w:color="auto" w:fill="FFFFFF"/>
        </w:rPr>
        <w:t xml:space="preserve">In </w:t>
      </w:r>
      <w:r w:rsidR="00891307">
        <w:rPr>
          <w:rFonts w:cs="Arial"/>
          <w:color w:val="2E2E2E"/>
          <w:shd w:val="clear" w:color="auto" w:fill="FFFFFF"/>
        </w:rPr>
        <w:t>a</w:t>
      </w:r>
      <w:r w:rsidRPr="009C0C03">
        <w:rPr>
          <w:rFonts w:cs="Arial"/>
          <w:color w:val="2E2E2E"/>
          <w:shd w:val="clear" w:color="auto" w:fill="FFFFFF"/>
        </w:rPr>
        <w:t xml:space="preserve"> 2011 study of the health effects associated with service in Afghanistan and Iraq during 2001–2009, the Institutes of Medicine (IOM, Reference </w:t>
      </w:r>
      <w:r w:rsidRPr="000F656F">
        <w:rPr>
          <w:rFonts w:cs="Arial"/>
          <w:color w:val="2E2E2E"/>
          <w:highlight w:val="yellow"/>
          <w:shd w:val="clear" w:color="auto" w:fill="FFFFFF"/>
        </w:rPr>
        <w:t>XX</w:t>
      </w:r>
      <w:r w:rsidRPr="009C0C03">
        <w:rPr>
          <w:rFonts w:cs="Arial"/>
          <w:color w:val="2E2E2E"/>
          <w:shd w:val="clear" w:color="auto" w:fill="FFFFFF"/>
        </w:rPr>
        <w:t xml:space="preserve">) was unable to determine if exposure to emissions from burn pits was associated with long-term health effects. This was primarily due to significant gaps in environmental monitoring data and health effects reporting. However, the committee’s review of the existing literature at the time did suggest that, in general, service in Iraq or Afghanistan could be associated with long-term health effects. For the hazards that they did identify, this would be particularly true for either susceptible (e.g., those with asthma) or highly exposed subpopulations (e.g., those who lived or worked near a burn pit). If these broader conclusions are supported in future health studies, the related health effects of concern will probably be respiratory and cardiovascular effects and cancer. Additionally, the susceptibility to these effects could be exacerbated by other factors such as stress, smoking, local climatic conditions, and co-exposure to other chemicals that affect the same biological or chemical processes. </w:t>
      </w:r>
    </w:p>
    <w:p w14:paraId="45EE7287" w14:textId="77777777" w:rsidR="009C0C03" w:rsidRPr="000F656F" w:rsidRDefault="009C0C03" w:rsidP="009C0C03">
      <w:pPr>
        <w:rPr>
          <w:rFonts w:cs="Arial"/>
          <w:color w:val="2E2E2E"/>
          <w:highlight w:val="cyan"/>
          <w:shd w:val="clear" w:color="auto" w:fill="FFFFFF"/>
        </w:rPr>
      </w:pPr>
    </w:p>
    <w:p w14:paraId="67AC7C7B" w14:textId="1F224D43" w:rsidR="009C0C03" w:rsidRPr="009C0C03" w:rsidRDefault="005F051A" w:rsidP="009C0C03">
      <w:pPr>
        <w:rPr>
          <w:rFonts w:cs="Arial"/>
          <w:color w:val="2E2E2E"/>
          <w:shd w:val="clear" w:color="auto" w:fill="FFFFFF"/>
        </w:rPr>
      </w:pPr>
      <w:r w:rsidRPr="00855AAB">
        <w:rPr>
          <w:rFonts w:cs="Arial"/>
          <w:color w:val="2E2E2E"/>
          <w:shd w:val="clear" w:color="auto" w:fill="FFFFFF"/>
        </w:rPr>
        <w:t>T</w:t>
      </w:r>
      <w:r w:rsidR="005554E5" w:rsidRPr="00855AAB">
        <w:rPr>
          <w:rFonts w:cs="Arial"/>
          <w:color w:val="2E2E2E"/>
          <w:shd w:val="clear" w:color="auto" w:fill="FFFFFF"/>
        </w:rPr>
        <w:t>o follow</w:t>
      </w:r>
      <w:r w:rsidR="005554E5">
        <w:rPr>
          <w:rFonts w:cs="Arial"/>
          <w:color w:val="2E2E2E"/>
          <w:shd w:val="clear" w:color="auto" w:fill="FFFFFF"/>
        </w:rPr>
        <w:t xml:space="preserve">-up on the </w:t>
      </w:r>
      <w:r w:rsidR="00E158B0">
        <w:rPr>
          <w:rFonts w:cs="Arial"/>
          <w:color w:val="2E2E2E"/>
          <w:shd w:val="clear" w:color="auto" w:fill="FFFFFF"/>
        </w:rPr>
        <w:t>2011 report, the</w:t>
      </w:r>
      <w:r>
        <w:rPr>
          <w:rFonts w:cs="Arial"/>
          <w:color w:val="2E2E2E"/>
          <w:shd w:val="clear" w:color="auto" w:fill="FFFFFF"/>
        </w:rPr>
        <w:t xml:space="preserve"> </w:t>
      </w:r>
      <w:r w:rsidR="009C0C03" w:rsidRPr="009C0C03">
        <w:rPr>
          <w:rFonts w:cs="Arial"/>
          <w:color w:val="2E2E2E"/>
          <w:shd w:val="clear" w:color="auto" w:fill="FFFFFF"/>
        </w:rPr>
        <w:t>NASEM</w:t>
      </w:r>
      <w:r w:rsidR="005838F7">
        <w:rPr>
          <w:rFonts w:cs="Arial"/>
          <w:color w:val="2E2E2E"/>
          <w:shd w:val="clear" w:color="auto" w:fill="FFFFFF"/>
        </w:rPr>
        <w:t xml:space="preserve"> </w:t>
      </w:r>
      <w:r w:rsidR="009C0C03" w:rsidRPr="009C0C03">
        <w:rPr>
          <w:rFonts w:cs="Arial"/>
          <w:color w:val="2E2E2E"/>
          <w:shd w:val="clear" w:color="auto" w:fill="FFFFFF"/>
        </w:rPr>
        <w:t>published a 2020 report</w:t>
      </w:r>
      <w:r w:rsidR="00DB241F">
        <w:rPr>
          <w:rFonts w:cs="Arial"/>
          <w:color w:val="2E2E2E"/>
          <w:shd w:val="clear" w:color="auto" w:fill="FFFFFF"/>
        </w:rPr>
        <w:t>, Respiratory Health Effects of Airborne Hazards</w:t>
      </w:r>
      <w:r w:rsidR="00017D86">
        <w:rPr>
          <w:rFonts w:cs="Arial"/>
          <w:color w:val="2E2E2E"/>
          <w:shd w:val="clear" w:color="auto" w:fill="FFFFFF"/>
        </w:rPr>
        <w:t xml:space="preserve"> Exposures in the Southwest Asia Theater of Military Operations,</w:t>
      </w:r>
      <w:r w:rsidR="009C0C03" w:rsidRPr="009C0C03">
        <w:rPr>
          <w:rFonts w:cs="Arial"/>
          <w:color w:val="2E2E2E"/>
          <w:shd w:val="clear" w:color="auto" w:fill="FFFFFF"/>
        </w:rPr>
        <w:t xml:space="preserve"> that examined the scientific findings </w:t>
      </w:r>
      <w:r w:rsidR="00373334">
        <w:rPr>
          <w:rFonts w:cs="Arial"/>
          <w:color w:val="2E2E2E"/>
          <w:shd w:val="clear" w:color="auto" w:fill="FFFFFF"/>
        </w:rPr>
        <w:t>of</w:t>
      </w:r>
      <w:r w:rsidR="009C0C03" w:rsidRPr="009C0C03">
        <w:rPr>
          <w:rFonts w:cs="Arial"/>
          <w:color w:val="2E2E2E"/>
          <w:shd w:val="clear" w:color="auto" w:fill="FFFFFF"/>
        </w:rPr>
        <w:t xml:space="preserve"> respiratory health effects </w:t>
      </w:r>
      <w:r w:rsidR="008B2D2E">
        <w:rPr>
          <w:rFonts w:cs="Arial"/>
          <w:color w:val="2E2E2E"/>
          <w:shd w:val="clear" w:color="auto" w:fill="FFFFFF"/>
        </w:rPr>
        <w:t>from</w:t>
      </w:r>
      <w:r w:rsidR="009C0C03" w:rsidRPr="009C0C03">
        <w:rPr>
          <w:rFonts w:cs="Arial"/>
          <w:color w:val="2E2E2E"/>
          <w:shd w:val="clear" w:color="auto" w:fill="FFFFFF"/>
        </w:rPr>
        <w:t xml:space="preserve"> airborne hazards during deployment (Reference </w:t>
      </w:r>
      <w:r w:rsidR="009C0C03" w:rsidRPr="000F656F">
        <w:rPr>
          <w:rFonts w:cs="Arial"/>
          <w:color w:val="2E2E2E"/>
          <w:highlight w:val="yellow"/>
          <w:shd w:val="clear" w:color="auto" w:fill="FFFFFF"/>
        </w:rPr>
        <w:t>XX</w:t>
      </w:r>
      <w:r w:rsidR="009C0C03" w:rsidRPr="009C0C03">
        <w:rPr>
          <w:rFonts w:cs="Arial"/>
          <w:color w:val="2E2E2E"/>
          <w:shd w:val="clear" w:color="auto" w:fill="FFFFFF"/>
        </w:rPr>
        <w:t>). A key conclusion in that report was that particulate matter from regional sources was of potential importance. The committee concluded that respiratory symptoms (i.e., shortness of breath, chronic persistent cough, and wheezing) had limited or suggestive evidence of an association with airborne hazards. Additionally, insufficient evidence was available to determine an association to other health outcomes (e.g., pulmonary function changes, respiratory system disease mortality, infectious/non-infectious lower airway occurrences, upper airway disorders, lung disease, and respiratory cancers). These findings do not mean that there is no association between deployment to the Southwest Asia theater and the respiratory health outcomes mentioned above, but instead that the available evidence does not allow a more definitive determination to be made about a potential association.</w:t>
      </w:r>
    </w:p>
    <w:p w14:paraId="5F3079E9" w14:textId="77777777" w:rsidR="009C0C03" w:rsidRPr="009C0C03" w:rsidRDefault="009C0C03" w:rsidP="009C0C03">
      <w:pPr>
        <w:rPr>
          <w:rFonts w:cs="Arial"/>
          <w:color w:val="2E2E2E"/>
          <w:shd w:val="clear" w:color="auto" w:fill="FFFFFF"/>
        </w:rPr>
      </w:pPr>
    </w:p>
    <w:p w14:paraId="050B4A0F" w14:textId="77777777" w:rsidR="00FC150E" w:rsidRDefault="009C0C03" w:rsidP="00F81F39">
      <w:pPr>
        <w:rPr>
          <w:rFonts w:cs="Arial"/>
          <w:color w:val="2E2E2E"/>
          <w:shd w:val="clear" w:color="auto" w:fill="FFFFFF"/>
        </w:rPr>
      </w:pPr>
      <w:r w:rsidRPr="009C0C03">
        <w:rPr>
          <w:rFonts w:cs="Arial"/>
          <w:color w:val="2E2E2E"/>
          <w:shd w:val="clear" w:color="auto" w:fill="FFFFFF"/>
        </w:rPr>
        <w:t>The 2011 IOM report</w:t>
      </w:r>
      <w:r w:rsidR="008B6423">
        <w:rPr>
          <w:rFonts w:cs="Arial"/>
          <w:color w:val="2E2E2E"/>
          <w:shd w:val="clear" w:color="auto" w:fill="FFFFFF"/>
        </w:rPr>
        <w:t xml:space="preserve"> </w:t>
      </w:r>
      <w:r w:rsidRPr="009C0C03">
        <w:rPr>
          <w:rFonts w:cs="Arial"/>
          <w:color w:val="2E2E2E"/>
          <w:shd w:val="clear" w:color="auto" w:fill="FFFFFF"/>
        </w:rPr>
        <w:t xml:space="preserve">specifically addressed exposure in Iraq and Afghanistan. While those results are not specific to </w:t>
      </w:r>
      <w:r w:rsidRPr="000F656F">
        <w:rPr>
          <w:rFonts w:cs="Arial"/>
          <w:color w:val="2E2E2E"/>
          <w:highlight w:val="green"/>
          <w:shd w:val="clear" w:color="auto" w:fill="FFFFFF"/>
        </w:rPr>
        <w:t xml:space="preserve">Camp </w:t>
      </w:r>
      <w:r w:rsidR="008B6423" w:rsidRPr="000F656F">
        <w:rPr>
          <w:rFonts w:cs="Arial"/>
          <w:color w:val="2E2E2E"/>
          <w:highlight w:val="green"/>
          <w:shd w:val="clear" w:color="auto" w:fill="FFFFFF"/>
        </w:rPr>
        <w:t>X</w:t>
      </w:r>
      <w:r w:rsidRPr="000F656F">
        <w:rPr>
          <w:rFonts w:cs="Arial"/>
          <w:color w:val="2E2E2E"/>
          <w:highlight w:val="green"/>
          <w:shd w:val="clear" w:color="auto" w:fill="FFFFFF"/>
        </w:rPr>
        <w:t>XX</w:t>
      </w:r>
      <w:r w:rsidRPr="009C0C03">
        <w:rPr>
          <w:rFonts w:cs="Arial"/>
          <w:color w:val="2E2E2E"/>
          <w:shd w:val="clear" w:color="auto" w:fill="FFFFFF"/>
        </w:rPr>
        <w:t xml:space="preserve">, </w:t>
      </w:r>
      <w:r w:rsidRPr="000F656F">
        <w:rPr>
          <w:rFonts w:cs="Arial"/>
          <w:color w:val="2E2E2E"/>
          <w:highlight w:val="green"/>
          <w:shd w:val="clear" w:color="auto" w:fill="FFFFFF"/>
        </w:rPr>
        <w:t>Country</w:t>
      </w:r>
      <w:r w:rsidRPr="009C0C03">
        <w:rPr>
          <w:rFonts w:cs="Arial"/>
          <w:color w:val="2E2E2E"/>
          <w:shd w:val="clear" w:color="auto" w:fill="FFFFFF"/>
        </w:rPr>
        <w:t>, the overall conclusions about risks due to environmental exposures at locations with burn pits may be similar. However, any specific conclusions about health risks at this location may differ from other locations as exposures can vary significantly due to differences in the types and amounts of materials burned, the operational processes at the burn pit or incinerator, the local meteorological conditions, the presence of other pollution sources, and many other variables.</w:t>
      </w:r>
      <w:r w:rsidR="001B69C7">
        <w:rPr>
          <w:rFonts w:cs="Arial"/>
          <w:color w:val="2E2E2E"/>
          <w:shd w:val="clear" w:color="auto" w:fill="FFFFFF"/>
        </w:rPr>
        <w:t xml:space="preserve"> </w:t>
      </w:r>
    </w:p>
    <w:p w14:paraId="02495531" w14:textId="77777777" w:rsidR="00741EF9" w:rsidRDefault="00741EF9" w:rsidP="00F81F39">
      <w:pPr>
        <w:rPr>
          <w:rFonts w:cs="Arial"/>
          <w:color w:val="2E2E2E"/>
          <w:shd w:val="clear" w:color="auto" w:fill="FFFFFF"/>
        </w:rPr>
      </w:pPr>
    </w:p>
    <w:p w14:paraId="00CDE03F" w14:textId="77777777" w:rsidR="00694939" w:rsidRPr="00F83550" w:rsidRDefault="00694939" w:rsidP="002F0040"/>
    <w:p w14:paraId="4E2934CC" w14:textId="52AE3B0A" w:rsidR="00614679" w:rsidRPr="00F83550" w:rsidRDefault="00614679" w:rsidP="0010791E">
      <w:pPr>
        <w:pStyle w:val="Heading1"/>
        <w:rPr>
          <w:sz w:val="22"/>
          <w:szCs w:val="22"/>
        </w:rPr>
      </w:pPr>
      <w:commentRangeStart w:id="86"/>
      <w:r w:rsidRPr="00F83550">
        <w:lastRenderedPageBreak/>
        <w:t>References</w:t>
      </w:r>
      <w:commentRangeEnd w:id="86"/>
      <w:r w:rsidR="003B6209">
        <w:rPr>
          <w:rStyle w:val="CommentReference"/>
          <w:b w:val="0"/>
          <w:bCs w:val="0"/>
          <w:color w:val="auto"/>
        </w:rPr>
        <w:commentReference w:id="86"/>
      </w:r>
    </w:p>
    <w:p w14:paraId="1207E2F0" w14:textId="77777777" w:rsidR="00CD4E0A" w:rsidRPr="00F83550" w:rsidRDefault="00CD4E0A" w:rsidP="002F0040"/>
    <w:p w14:paraId="5497CC3F" w14:textId="77777777" w:rsidR="00D7193D" w:rsidRDefault="00D7193D" w:rsidP="00D7193D">
      <w:pPr>
        <w:spacing w:after="240"/>
      </w:pPr>
      <w:r w:rsidRPr="1036F46C">
        <w:rPr>
          <w:color w:val="000000" w:themeColor="text1"/>
        </w:rPr>
        <w:t xml:space="preserve">1. </w:t>
      </w:r>
      <w:commentRangeStart w:id="87"/>
      <w:r>
        <w:t xml:space="preserve">Department of Defense (DoD) Instruction 6490.03, </w:t>
      </w:r>
      <w:r w:rsidRPr="1036F46C">
        <w:rPr>
          <w:i/>
          <w:iCs/>
        </w:rPr>
        <w:t>Deployment Health</w:t>
      </w:r>
      <w:r>
        <w:t>, 19 June 2019.</w:t>
      </w:r>
    </w:p>
    <w:p w14:paraId="5E837A21" w14:textId="77777777" w:rsidR="00D7193D" w:rsidRDefault="00D7193D" w:rsidP="00D7193D">
      <w:pPr>
        <w:spacing w:after="240"/>
      </w:pPr>
      <w:r>
        <w:t>2. DoDI 6055.05, Occupational and Environmental Health, 13 August 2008.</w:t>
      </w:r>
      <w:commentRangeEnd w:id="87"/>
      <w:r>
        <w:rPr>
          <w:rStyle w:val="CommentReference"/>
        </w:rPr>
        <w:commentReference w:id="87"/>
      </w:r>
    </w:p>
    <w:p w14:paraId="74F13DBE" w14:textId="5144EDEC" w:rsidR="00D7193D" w:rsidRDefault="00D7193D" w:rsidP="00D7193D">
      <w:pPr>
        <w:spacing w:after="240"/>
      </w:pPr>
      <w:r>
        <w:t xml:space="preserve">3. </w:t>
      </w:r>
      <w:commentRangeStart w:id="88"/>
      <w:r>
        <w:t>Defense</w:t>
      </w:r>
      <w:commentRangeEnd w:id="88"/>
      <w:r>
        <w:rPr>
          <w:rStyle w:val="CommentReference"/>
        </w:rPr>
        <w:commentReference w:id="88"/>
      </w:r>
      <w:r>
        <w:t xml:space="preserve"> Occupational and Environmental Health Readiness System (referred to as the DOEHRS-</w:t>
      </w:r>
      <w:r w:rsidR="00934909">
        <w:t xml:space="preserve">IH </w:t>
      </w:r>
      <w:r>
        <w:t xml:space="preserve">database) at </w:t>
      </w:r>
      <w:hyperlink r:id="rId21">
        <w:r w:rsidRPr="4DC24C3C">
          <w:rPr>
            <w:rStyle w:val="Hyperlink"/>
          </w:rPr>
          <w:t>https://doehrs-ih.csd.disa.mil/Doehrs/</w:t>
        </w:r>
      </w:hyperlink>
      <w:r>
        <w:t>.</w:t>
      </w:r>
    </w:p>
    <w:p w14:paraId="65DAA898" w14:textId="77777777" w:rsidR="00D7193D" w:rsidRPr="00DD0299" w:rsidRDefault="00D7193D" w:rsidP="00D7193D">
      <w:pPr>
        <w:spacing w:after="240"/>
      </w:pPr>
      <w:r w:rsidRPr="00177B8C">
        <w:rPr>
          <w:highlight w:val="yellow"/>
        </w:rPr>
        <w:t xml:space="preserve">4. </w:t>
      </w:r>
      <w:commentRangeStart w:id="89"/>
      <w:r w:rsidRPr="00177B8C">
        <w:rPr>
          <w:highlight w:val="yellow"/>
        </w:rPr>
        <w:t>Occupational</w:t>
      </w:r>
      <w:commentRangeEnd w:id="89"/>
      <w:r w:rsidRPr="00177B8C">
        <w:rPr>
          <w:rStyle w:val="CommentReference"/>
          <w:highlight w:val="yellow"/>
        </w:rPr>
        <w:commentReference w:id="89"/>
      </w:r>
      <w:r w:rsidRPr="00177B8C">
        <w:rPr>
          <w:highlight w:val="yellow"/>
        </w:rPr>
        <w:t xml:space="preserve"> </w:t>
      </w:r>
      <w:r w:rsidRPr="007913D4">
        <w:rPr>
          <w:highlight w:val="yellow"/>
        </w:rPr>
        <w:t>and Environmental Health Site Assessment</w:t>
      </w:r>
      <w:r>
        <w:rPr>
          <w:highlight w:val="yellow"/>
        </w:rPr>
        <w:t xml:space="preserve"> (OEHSA)</w:t>
      </w:r>
      <w:r w:rsidRPr="007913D4">
        <w:rPr>
          <w:highlight w:val="yellow"/>
        </w:rPr>
        <w:t xml:space="preserve">. 1st BN-5 SFG, Base Camp </w:t>
      </w:r>
      <w:r>
        <w:rPr>
          <w:highlight w:val="yellow"/>
        </w:rPr>
        <w:t>XXX</w:t>
      </w:r>
      <w:r w:rsidRPr="007913D4">
        <w:rPr>
          <w:highlight w:val="yellow"/>
        </w:rPr>
        <w:t>. February 2019.</w:t>
      </w:r>
    </w:p>
    <w:p w14:paraId="1082B1C1" w14:textId="77777777" w:rsidR="00D7193D" w:rsidRDefault="00D7193D" w:rsidP="00D7193D">
      <w:pPr>
        <w:spacing w:after="240"/>
        <w:rPr>
          <w:color w:val="000000" w:themeColor="text1"/>
        </w:rPr>
      </w:pPr>
      <w:r w:rsidRPr="00177B8C">
        <w:rPr>
          <w:highlight w:val="yellow"/>
        </w:rPr>
        <w:t xml:space="preserve">5. </w:t>
      </w:r>
      <w:commentRangeStart w:id="90"/>
      <w:r w:rsidRPr="00177B8C">
        <w:rPr>
          <w:color w:val="000000" w:themeColor="text1"/>
          <w:highlight w:val="yellow"/>
        </w:rPr>
        <w:t>D</w:t>
      </w:r>
      <w:r>
        <w:rPr>
          <w:color w:val="000000" w:themeColor="text1"/>
          <w:highlight w:val="yellow"/>
        </w:rPr>
        <w:t>epartment</w:t>
      </w:r>
      <w:commentRangeEnd w:id="90"/>
      <w:r>
        <w:rPr>
          <w:rStyle w:val="CommentReference"/>
        </w:rPr>
        <w:commentReference w:id="90"/>
      </w:r>
      <w:r>
        <w:rPr>
          <w:color w:val="000000" w:themeColor="text1"/>
          <w:highlight w:val="yellow"/>
        </w:rPr>
        <w:t xml:space="preserve"> of the Navy Tactical Reference Publication (NTRP) 4-02.9M, </w:t>
      </w:r>
      <w:r>
        <w:rPr>
          <w:i/>
          <w:iCs/>
          <w:color w:val="000000" w:themeColor="text1"/>
          <w:highlight w:val="yellow"/>
        </w:rPr>
        <w:t>Occupational and Environmental Health Site Surveillance at Deployment Locations</w:t>
      </w:r>
      <w:r w:rsidRPr="004D0B96">
        <w:rPr>
          <w:color w:val="000000" w:themeColor="text1"/>
        </w:rPr>
        <w:t>, January 2023 version.</w:t>
      </w:r>
    </w:p>
    <w:p w14:paraId="00E9E720" w14:textId="3B44D8FB" w:rsidR="00D7193D" w:rsidRDefault="00D7193D" w:rsidP="00D7193D">
      <w:pPr>
        <w:spacing w:after="240"/>
        <w:rPr>
          <w:color w:val="000000" w:themeColor="text1"/>
        </w:rPr>
      </w:pPr>
      <w:r w:rsidRPr="007471BF">
        <w:rPr>
          <w:color w:val="000000" w:themeColor="text1"/>
          <w:highlight w:val="yellow"/>
        </w:rPr>
        <w:t>6</w:t>
      </w:r>
      <w:r w:rsidRPr="00177B8C">
        <w:rPr>
          <w:color w:val="000000" w:themeColor="text1"/>
          <w:highlight w:val="yellow"/>
        </w:rPr>
        <w:t xml:space="preserve">. </w:t>
      </w:r>
      <w:commentRangeStart w:id="91"/>
      <w:r w:rsidRPr="00177B8C">
        <w:rPr>
          <w:rFonts w:eastAsia="Arial" w:cs="Arial"/>
          <w:highlight w:val="yellow"/>
        </w:rPr>
        <w:t>E</w:t>
      </w:r>
      <w:r w:rsidRPr="007471BF">
        <w:rPr>
          <w:rFonts w:eastAsia="Arial" w:cs="Arial"/>
          <w:highlight w:val="yellow"/>
        </w:rPr>
        <w:t>PA</w:t>
      </w:r>
      <w:commentRangeEnd w:id="91"/>
      <w:r>
        <w:rPr>
          <w:rStyle w:val="CommentReference"/>
        </w:rPr>
        <w:commentReference w:id="91"/>
      </w:r>
      <w:r w:rsidRPr="007471BF">
        <w:rPr>
          <w:rFonts w:eastAsia="Arial" w:cs="Arial"/>
          <w:highlight w:val="yellow"/>
        </w:rPr>
        <w:t xml:space="preserve"> Technical Assistance Document for the Reporting of Daily Air Quality – the Air Quality Index (AQI), EPA 454/B-18-007, September 2018</w:t>
      </w:r>
    </w:p>
    <w:p w14:paraId="285457F8" w14:textId="5B44D8B1" w:rsidR="00D7193D" w:rsidRDefault="00D7193D" w:rsidP="00D7193D">
      <w:pPr>
        <w:spacing w:after="240"/>
      </w:pPr>
      <w:r>
        <w:rPr>
          <w:color w:val="000000" w:themeColor="text1"/>
        </w:rPr>
        <w:t xml:space="preserve">7. </w:t>
      </w:r>
      <w:commentRangeStart w:id="92"/>
      <w:r w:rsidRPr="000039E4">
        <w:t>USAPHC</w:t>
      </w:r>
      <w:commentRangeEnd w:id="92"/>
      <w:r>
        <w:rPr>
          <w:rStyle w:val="CommentReference"/>
        </w:rPr>
        <w:commentReference w:id="92"/>
      </w:r>
      <w:r w:rsidRPr="000039E4">
        <w:t xml:space="preserve"> 2013 TG230</w:t>
      </w:r>
      <w:r>
        <w:t xml:space="preserve">: </w:t>
      </w:r>
      <w:r w:rsidRPr="000039E4">
        <w:t>Environmental Health Risk Assessment and Chemical Exposure Guidelines for Deployed Military Personnel. June 2013 Revision.</w:t>
      </w:r>
    </w:p>
    <w:p w14:paraId="3845BF14" w14:textId="08C307F0" w:rsidR="00112B8A" w:rsidRPr="00E5421C" w:rsidRDefault="00112B8A" w:rsidP="00112B8A">
      <w:pPr>
        <w:autoSpaceDE w:val="0"/>
        <w:autoSpaceDN w:val="0"/>
        <w:adjustRightInd w:val="0"/>
        <w:rPr>
          <w:highlight w:val="yellow"/>
        </w:rPr>
      </w:pPr>
      <w:r w:rsidRPr="00E5421C">
        <w:rPr>
          <w:highlight w:val="yellow"/>
        </w:rPr>
        <w:t xml:space="preserve">8. </w:t>
      </w:r>
      <w:commentRangeStart w:id="93"/>
      <w:r w:rsidRPr="00E5421C">
        <w:rPr>
          <w:color w:val="000000" w:themeColor="text1"/>
          <w:highlight w:val="yellow"/>
        </w:rPr>
        <w:t>National</w:t>
      </w:r>
      <w:commentRangeEnd w:id="93"/>
      <w:r w:rsidRPr="00E5421C">
        <w:rPr>
          <w:rStyle w:val="CommentReference"/>
          <w:highlight w:val="yellow"/>
        </w:rPr>
        <w:commentReference w:id="93"/>
      </w:r>
      <w:r w:rsidRPr="00E5421C">
        <w:rPr>
          <w:color w:val="000000" w:themeColor="text1"/>
          <w:highlight w:val="yellow"/>
        </w:rPr>
        <w:t xml:space="preserve"> Academies of Sciences, Engineering, and Medicine (NASEM)</w:t>
      </w:r>
      <w:r w:rsidRPr="00E5421C">
        <w:rPr>
          <w:highlight w:val="yellow"/>
        </w:rPr>
        <w:t>. 2017. Assessment of the Department of Veteran Affairs Airborne Hazards and Open Burn Pit Registry. 28 February 2017. (</w:t>
      </w:r>
      <w:hyperlink r:id="rId22" w:history="1">
        <w:r w:rsidRPr="00E5421C">
          <w:rPr>
            <w:rStyle w:val="Hyperlink"/>
            <w:highlight w:val="yellow"/>
          </w:rPr>
          <w:t>https://nap.nationalacademies.org/catalog/23677/assessment-of-the-department-of-veterans-affairs-airborne-hazards-and-open-burn-pit-registry</w:t>
        </w:r>
      </w:hyperlink>
      <w:r w:rsidRPr="00E5421C">
        <w:rPr>
          <w:highlight w:val="yellow"/>
        </w:rPr>
        <w:t>)</w:t>
      </w:r>
    </w:p>
    <w:p w14:paraId="66C02181" w14:textId="77777777" w:rsidR="00112B8A" w:rsidRPr="00E5421C" w:rsidRDefault="00112B8A" w:rsidP="00112B8A">
      <w:pPr>
        <w:autoSpaceDE w:val="0"/>
        <w:autoSpaceDN w:val="0"/>
        <w:adjustRightInd w:val="0"/>
        <w:rPr>
          <w:highlight w:val="yellow"/>
        </w:rPr>
      </w:pPr>
    </w:p>
    <w:p w14:paraId="73D23763" w14:textId="66748957" w:rsidR="00112B8A" w:rsidRDefault="00112B8A" w:rsidP="00112B8A">
      <w:pPr>
        <w:autoSpaceDE w:val="0"/>
        <w:autoSpaceDN w:val="0"/>
        <w:adjustRightInd w:val="0"/>
        <w:rPr>
          <w:rFonts w:cs="Arial"/>
          <w:color w:val="2E2E2E"/>
          <w:shd w:val="clear" w:color="auto" w:fill="FFFFFF"/>
        </w:rPr>
      </w:pPr>
      <w:r w:rsidRPr="00E5421C">
        <w:rPr>
          <w:highlight w:val="yellow"/>
        </w:rPr>
        <w:t>9.</w:t>
      </w:r>
      <w:r w:rsidRPr="00E5421C">
        <w:rPr>
          <w:rFonts w:cs="Arial"/>
          <w:color w:val="2E2E2E"/>
          <w:highlight w:val="yellow"/>
          <w:shd w:val="clear" w:color="auto" w:fill="FFFFFF"/>
        </w:rPr>
        <w:t xml:space="preserve"> </w:t>
      </w:r>
      <w:r w:rsidRPr="00E5421C">
        <w:rPr>
          <w:highlight w:val="yellow"/>
        </w:rPr>
        <w:t xml:space="preserve">NASEM. 2022. </w:t>
      </w:r>
      <w:r w:rsidRPr="00E5421C">
        <w:rPr>
          <w:rFonts w:cs="Arial"/>
          <w:color w:val="2E2E2E"/>
          <w:highlight w:val="yellow"/>
          <w:shd w:val="clear" w:color="auto" w:fill="FFFFFF"/>
        </w:rPr>
        <w:t xml:space="preserve">Reassessment of the Department of Veterans Affairs Airborne Hazards and </w:t>
      </w:r>
      <w:commentRangeStart w:id="94"/>
      <w:commentRangeEnd w:id="94"/>
      <w:r w:rsidRPr="00E5421C">
        <w:rPr>
          <w:rStyle w:val="CommentReference"/>
          <w:highlight w:val="yellow"/>
        </w:rPr>
        <w:commentReference w:id="94"/>
      </w:r>
      <w:r w:rsidRPr="00E5421C">
        <w:rPr>
          <w:rFonts w:cs="Arial"/>
          <w:color w:val="2E2E2E"/>
          <w:highlight w:val="yellow"/>
          <w:shd w:val="clear" w:color="auto" w:fill="FFFFFF"/>
        </w:rPr>
        <w:t>Open Burn Pit Registry. 14 October 2022. (</w:t>
      </w:r>
      <w:hyperlink r:id="rId23" w:history="1">
        <w:r w:rsidRPr="00E5421C">
          <w:rPr>
            <w:rStyle w:val="Hyperlink"/>
            <w:rFonts w:cs="Arial"/>
            <w:highlight w:val="yellow"/>
            <w:shd w:val="clear" w:color="auto" w:fill="FFFFFF"/>
          </w:rPr>
          <w:t>https://www.nationalacademies.org/our-work/reassessment-of-the-department-of-veterans-affairs-airborne-hazards-and-open-burn-pit-registry</w:t>
        </w:r>
      </w:hyperlink>
      <w:r w:rsidRPr="00E5421C">
        <w:rPr>
          <w:rFonts w:cs="Arial"/>
          <w:color w:val="2E2E2E"/>
          <w:highlight w:val="yellow"/>
          <w:shd w:val="clear" w:color="auto" w:fill="FFFFFF"/>
        </w:rPr>
        <w:t>)</w:t>
      </w:r>
    </w:p>
    <w:p w14:paraId="42A2E70C" w14:textId="77777777" w:rsidR="00112B8A" w:rsidRDefault="00112B8A" w:rsidP="00112B8A">
      <w:pPr>
        <w:autoSpaceDE w:val="0"/>
        <w:autoSpaceDN w:val="0"/>
        <w:adjustRightInd w:val="0"/>
        <w:rPr>
          <w:rFonts w:cs="Arial"/>
          <w:color w:val="2E2E2E"/>
          <w:shd w:val="clear" w:color="auto" w:fill="FFFFFF"/>
        </w:rPr>
      </w:pPr>
    </w:p>
    <w:p w14:paraId="46BF986A" w14:textId="26D604AF" w:rsidR="00D7193D" w:rsidRDefault="00E5421C" w:rsidP="00112B8A">
      <w:pPr>
        <w:rPr>
          <w:rStyle w:val="Hyperlink"/>
          <w:color w:val="005274"/>
          <w:sz w:val="22"/>
          <w:szCs w:val="22"/>
          <w:shd w:val="clear" w:color="auto" w:fill="FFFFFF"/>
        </w:rPr>
      </w:pPr>
      <w:r w:rsidRPr="00381E9C">
        <w:rPr>
          <w:color w:val="000000" w:themeColor="text1"/>
          <w:highlight w:val="yellow"/>
        </w:rPr>
        <w:t>10</w:t>
      </w:r>
      <w:r w:rsidR="00D7193D" w:rsidRPr="00381E9C">
        <w:rPr>
          <w:color w:val="000000" w:themeColor="text1"/>
          <w:highlight w:val="yellow"/>
        </w:rPr>
        <w:t xml:space="preserve">. </w:t>
      </w:r>
      <w:commentRangeStart w:id="95"/>
      <w:r w:rsidR="00D7193D" w:rsidRPr="00381E9C">
        <w:rPr>
          <w:rStyle w:val="author"/>
          <w:color w:val="000000" w:themeColor="text1"/>
          <w:highlight w:val="yellow"/>
          <w:shd w:val="clear" w:color="auto" w:fill="FFFFFF"/>
        </w:rPr>
        <w:t>Keller</w:t>
      </w:r>
      <w:commentRangeEnd w:id="95"/>
      <w:r w:rsidR="00D7193D" w:rsidRPr="00381E9C">
        <w:rPr>
          <w:rStyle w:val="CommentReference"/>
          <w:color w:val="000000" w:themeColor="text1"/>
          <w:sz w:val="22"/>
          <w:szCs w:val="22"/>
          <w:highlight w:val="yellow"/>
        </w:rPr>
        <w:commentReference w:id="95"/>
      </w:r>
      <w:r w:rsidR="00D7193D" w:rsidRPr="005C5AFB">
        <w:rPr>
          <w:rStyle w:val="author"/>
          <w:color w:val="000000" w:themeColor="text1"/>
          <w:highlight w:val="yellow"/>
          <w:shd w:val="clear" w:color="auto" w:fill="FFFFFF"/>
        </w:rPr>
        <w:t>, C. A.</w:t>
      </w:r>
      <w:r w:rsidR="00D7193D" w:rsidRPr="005C5AFB">
        <w:rPr>
          <w:color w:val="000000" w:themeColor="text1"/>
          <w:highlight w:val="yellow"/>
          <w:shd w:val="clear" w:color="auto" w:fill="FFFFFF"/>
        </w:rPr>
        <w:t xml:space="preserve">, </w:t>
      </w:r>
      <w:proofErr w:type="spellStart"/>
      <w:r w:rsidR="00D7193D" w:rsidRPr="005C5AFB">
        <w:rPr>
          <w:rStyle w:val="author"/>
          <w:color w:val="000000" w:themeColor="text1"/>
          <w:highlight w:val="yellow"/>
          <w:shd w:val="clear" w:color="auto" w:fill="FFFFFF"/>
        </w:rPr>
        <w:t>Knowland</w:t>
      </w:r>
      <w:proofErr w:type="spellEnd"/>
      <w:r w:rsidR="00D7193D" w:rsidRPr="005C5AFB">
        <w:rPr>
          <w:rStyle w:val="author"/>
          <w:color w:val="000000" w:themeColor="text1"/>
          <w:highlight w:val="yellow"/>
          <w:shd w:val="clear" w:color="auto" w:fill="FFFFFF"/>
        </w:rPr>
        <w:t>, K. E.</w:t>
      </w:r>
      <w:r w:rsidR="00D7193D" w:rsidRPr="005C5AFB">
        <w:rPr>
          <w:color w:val="000000" w:themeColor="text1"/>
          <w:highlight w:val="yellow"/>
          <w:shd w:val="clear" w:color="auto" w:fill="FFFFFF"/>
        </w:rPr>
        <w:t xml:space="preserve">, </w:t>
      </w:r>
      <w:r w:rsidR="00D7193D" w:rsidRPr="005C5AFB">
        <w:rPr>
          <w:rStyle w:val="author"/>
          <w:color w:val="000000" w:themeColor="text1"/>
          <w:highlight w:val="yellow"/>
          <w:shd w:val="clear" w:color="auto" w:fill="FFFFFF"/>
        </w:rPr>
        <w:t>Duncan, B. N.</w:t>
      </w:r>
      <w:r w:rsidR="00D7193D" w:rsidRPr="005C5AFB">
        <w:rPr>
          <w:color w:val="000000" w:themeColor="text1"/>
          <w:highlight w:val="yellow"/>
          <w:shd w:val="clear" w:color="auto" w:fill="FFFFFF"/>
        </w:rPr>
        <w:t xml:space="preserve">, </w:t>
      </w:r>
      <w:r w:rsidR="00D7193D" w:rsidRPr="005C5AFB">
        <w:rPr>
          <w:rStyle w:val="author"/>
          <w:color w:val="000000" w:themeColor="text1"/>
          <w:highlight w:val="yellow"/>
          <w:shd w:val="clear" w:color="auto" w:fill="FFFFFF"/>
        </w:rPr>
        <w:t>Liu, J.</w:t>
      </w:r>
      <w:r w:rsidR="00D7193D" w:rsidRPr="005C5AFB">
        <w:rPr>
          <w:color w:val="000000" w:themeColor="text1"/>
          <w:highlight w:val="yellow"/>
          <w:shd w:val="clear" w:color="auto" w:fill="FFFFFF"/>
        </w:rPr>
        <w:t xml:space="preserve">, </w:t>
      </w:r>
      <w:r w:rsidR="00D7193D" w:rsidRPr="005C5AFB">
        <w:rPr>
          <w:rStyle w:val="author"/>
          <w:color w:val="000000" w:themeColor="text1"/>
          <w:highlight w:val="yellow"/>
          <w:shd w:val="clear" w:color="auto" w:fill="FFFFFF"/>
        </w:rPr>
        <w:t>Anderson, D. C.</w:t>
      </w:r>
      <w:r w:rsidR="00D7193D" w:rsidRPr="005C5AFB">
        <w:rPr>
          <w:color w:val="000000" w:themeColor="text1"/>
          <w:highlight w:val="yellow"/>
          <w:shd w:val="clear" w:color="auto" w:fill="FFFFFF"/>
        </w:rPr>
        <w:t xml:space="preserve">, </w:t>
      </w:r>
      <w:r w:rsidR="00D7193D" w:rsidRPr="005C5AFB">
        <w:rPr>
          <w:rStyle w:val="author"/>
          <w:color w:val="000000" w:themeColor="text1"/>
          <w:highlight w:val="yellow"/>
          <w:shd w:val="clear" w:color="auto" w:fill="FFFFFF"/>
        </w:rPr>
        <w:t>Das, S.</w:t>
      </w:r>
      <w:r w:rsidR="00D7193D" w:rsidRPr="005C5AFB">
        <w:rPr>
          <w:color w:val="000000" w:themeColor="text1"/>
          <w:highlight w:val="yellow"/>
          <w:shd w:val="clear" w:color="auto" w:fill="FFFFFF"/>
        </w:rPr>
        <w:t>, et al. (</w:t>
      </w:r>
      <w:r w:rsidR="00D7193D" w:rsidRPr="005C5AFB">
        <w:rPr>
          <w:rStyle w:val="pubyear"/>
          <w:color w:val="000000" w:themeColor="text1"/>
          <w:highlight w:val="yellow"/>
          <w:shd w:val="clear" w:color="auto" w:fill="FFFFFF"/>
        </w:rPr>
        <w:t>2021</w:t>
      </w:r>
      <w:r w:rsidR="00D7193D" w:rsidRPr="005C5AFB">
        <w:rPr>
          <w:color w:val="000000" w:themeColor="text1"/>
          <w:highlight w:val="yellow"/>
          <w:shd w:val="clear" w:color="auto" w:fill="FFFFFF"/>
        </w:rPr>
        <w:t xml:space="preserve">). </w:t>
      </w:r>
      <w:r w:rsidR="00D7193D" w:rsidRPr="005C5AFB">
        <w:rPr>
          <w:rStyle w:val="articletitle"/>
          <w:color w:val="000000" w:themeColor="text1"/>
          <w:highlight w:val="yellow"/>
          <w:shd w:val="clear" w:color="auto" w:fill="FFFFFF"/>
        </w:rPr>
        <w:t>Description of the NASA GEOS composition forecast modeling system GEOS-CF v1.0</w:t>
      </w:r>
      <w:r w:rsidR="00D7193D" w:rsidRPr="005C5AFB">
        <w:rPr>
          <w:color w:val="000000" w:themeColor="text1"/>
          <w:highlight w:val="yellow"/>
          <w:shd w:val="clear" w:color="auto" w:fill="FFFFFF"/>
        </w:rPr>
        <w:t xml:space="preserve">. </w:t>
      </w:r>
      <w:r w:rsidR="00D7193D" w:rsidRPr="33E5F294">
        <w:rPr>
          <w:i/>
          <w:iCs/>
          <w:highlight w:val="yellow"/>
          <w:shd w:val="clear" w:color="auto" w:fill="FFFFFF"/>
        </w:rPr>
        <w:t>Journal of Advances in Modeling Earth Systems</w:t>
      </w:r>
      <w:r w:rsidR="00D7193D" w:rsidRPr="33E5F294">
        <w:rPr>
          <w:highlight w:val="yellow"/>
          <w:shd w:val="clear" w:color="auto" w:fill="FFFFFF"/>
        </w:rPr>
        <w:t xml:space="preserve">, </w:t>
      </w:r>
      <w:r w:rsidR="00D7193D" w:rsidRPr="33E5F294">
        <w:rPr>
          <w:rStyle w:val="vol"/>
          <w:color w:val="1C1D1E"/>
          <w:highlight w:val="yellow"/>
          <w:shd w:val="clear" w:color="auto" w:fill="FFFFFF"/>
        </w:rPr>
        <w:t>13</w:t>
      </w:r>
      <w:r w:rsidR="00D7193D" w:rsidRPr="33E5F294">
        <w:rPr>
          <w:highlight w:val="yellow"/>
          <w:shd w:val="clear" w:color="auto" w:fill="FFFFFF"/>
        </w:rPr>
        <w:t>, e2020MS002413.</w:t>
      </w:r>
      <w:r w:rsidR="00D7193D" w:rsidRPr="0094245B">
        <w:rPr>
          <w:highlight w:val="yellow"/>
          <w:shd w:val="clear" w:color="auto" w:fill="FFFFFF"/>
        </w:rPr>
        <w:t xml:space="preserve"> </w:t>
      </w:r>
      <w:hyperlink r:id="rId24" w:history="1">
        <w:r w:rsidR="00D7193D" w:rsidRPr="0094245B">
          <w:rPr>
            <w:rStyle w:val="Hyperlink"/>
            <w:color w:val="005274"/>
            <w:sz w:val="22"/>
            <w:szCs w:val="22"/>
            <w:highlight w:val="yellow"/>
            <w:shd w:val="clear" w:color="auto" w:fill="FFFFFF"/>
          </w:rPr>
          <w:t>https://doi.org/10.1029/2020MS002413</w:t>
        </w:r>
      </w:hyperlink>
    </w:p>
    <w:p w14:paraId="3B387791" w14:textId="77777777" w:rsidR="00E5421C" w:rsidRPr="0094245B" w:rsidRDefault="00E5421C" w:rsidP="00112B8A">
      <w:pPr>
        <w:rPr>
          <w:color w:val="005274"/>
          <w:sz w:val="21"/>
          <w:szCs w:val="21"/>
          <w:u w:val="single"/>
          <w:shd w:val="clear" w:color="auto" w:fill="FFFFFF"/>
        </w:rPr>
      </w:pPr>
    </w:p>
    <w:p w14:paraId="3F46FF40" w14:textId="40465F8D" w:rsidR="00D7193D" w:rsidRDefault="00E5421C" w:rsidP="00D7193D">
      <w:pPr>
        <w:spacing w:after="240"/>
      </w:pPr>
      <w:r w:rsidRPr="00381E9C">
        <w:rPr>
          <w:highlight w:val="yellow"/>
        </w:rPr>
        <w:t>11</w:t>
      </w:r>
      <w:r w:rsidR="00D7193D" w:rsidRPr="00381E9C">
        <w:rPr>
          <w:highlight w:val="yellow"/>
        </w:rPr>
        <w:t xml:space="preserve">. </w:t>
      </w:r>
      <w:commentRangeStart w:id="96"/>
      <w:commentRangeEnd w:id="96"/>
      <w:r w:rsidR="00D7193D" w:rsidRPr="00381E9C">
        <w:rPr>
          <w:rStyle w:val="CommentReference"/>
          <w:highlight w:val="yellow"/>
        </w:rPr>
        <w:commentReference w:id="96"/>
      </w:r>
      <w:r w:rsidR="00D7193D" w:rsidRPr="00381E9C">
        <w:rPr>
          <w:highlight w:val="yellow"/>
        </w:rPr>
        <w:t>NASA</w:t>
      </w:r>
      <w:r w:rsidR="00D7193D" w:rsidRPr="00A03996">
        <w:rPr>
          <w:highlight w:val="yellow"/>
        </w:rPr>
        <w:t>, N</w:t>
      </w:r>
      <w:r w:rsidR="00D7193D" w:rsidRPr="007365AA">
        <w:rPr>
          <w:highlight w:val="yellow"/>
        </w:rPr>
        <w:t>ational Aeronautics and Space Administration Global Modeling and Assimilation Office, Composition Forecast Model</w:t>
      </w:r>
      <w:r w:rsidR="00D7193D" w:rsidRPr="001F0AF2">
        <w:rPr>
          <w:highlight w:val="yellow"/>
        </w:rPr>
        <w:t>.</w:t>
      </w:r>
    </w:p>
    <w:p w14:paraId="21BB093A" w14:textId="4BAE78C6" w:rsidR="00D7193D" w:rsidRPr="007365AA" w:rsidRDefault="00D7193D" w:rsidP="00D7193D">
      <w:pPr>
        <w:spacing w:after="240"/>
      </w:pPr>
      <w:r>
        <w:rPr>
          <w:rStyle w:val="ui-provider"/>
          <w:highlight w:val="yellow"/>
        </w:rPr>
        <w:t>1</w:t>
      </w:r>
      <w:r w:rsidR="00E5421C">
        <w:rPr>
          <w:rStyle w:val="ui-provider"/>
          <w:highlight w:val="yellow"/>
        </w:rPr>
        <w:t>2</w:t>
      </w:r>
      <w:r w:rsidRPr="6B478C26">
        <w:rPr>
          <w:rStyle w:val="ui-provider"/>
          <w:highlight w:val="yellow"/>
        </w:rPr>
        <w:t xml:space="preserve">. EPA (Environmental Protection Agency). 2022a. Ground-level Ozone Basics webpage [Updated 14 June 2022; last reviewed 17 Jan 2023]. </w:t>
      </w:r>
      <w:hyperlink r:id="rId25" w:anchor="formation">
        <w:r w:rsidRPr="6B478C26">
          <w:rPr>
            <w:rStyle w:val="Hyperlink"/>
            <w:highlight w:val="yellow"/>
          </w:rPr>
          <w:t>https://www.epa.gov/ground-level-ozone-pollution/ground-level-ozone-basics#formation</w:t>
        </w:r>
      </w:hyperlink>
    </w:p>
    <w:p w14:paraId="1F5DBAC8" w14:textId="09F21722" w:rsidR="00D7193D" w:rsidRDefault="00D7193D" w:rsidP="00D7193D">
      <w:pPr>
        <w:spacing w:after="240"/>
        <w:rPr>
          <w:rFonts w:eastAsia="Arial" w:cs="Arial"/>
        </w:rPr>
      </w:pPr>
      <w:r w:rsidRPr="00AD1F04">
        <w:rPr>
          <w:rFonts w:eastAsia="Arial" w:cs="Arial"/>
          <w:color w:val="000000" w:themeColor="text1"/>
          <w:highlight w:val="yellow"/>
        </w:rPr>
        <w:t>1</w:t>
      </w:r>
      <w:r w:rsidR="00E5421C">
        <w:rPr>
          <w:rFonts w:eastAsia="Arial" w:cs="Arial"/>
          <w:color w:val="000000" w:themeColor="text1"/>
          <w:highlight w:val="yellow"/>
        </w:rPr>
        <w:t>3</w:t>
      </w:r>
      <w:r w:rsidRPr="00AD1F04">
        <w:rPr>
          <w:rFonts w:eastAsia="Arial" w:cs="Arial"/>
          <w:color w:val="000000" w:themeColor="text1"/>
          <w:highlight w:val="yellow"/>
        </w:rPr>
        <w:t>. Worldwide Directory of Sanitarily Approved Food Establishments for Armed Forces Procurement at https://phc.amedd.army.mil/topics/foodwater/ca/Pages/DoDApprovedFoodSources.aspx</w:t>
      </w:r>
    </w:p>
    <w:p w14:paraId="69D353C9" w14:textId="781B888D" w:rsidR="00D7193D" w:rsidRDefault="00D7193D" w:rsidP="00D7193D">
      <w:pPr>
        <w:spacing w:after="240"/>
        <w:rPr>
          <w:rStyle w:val="Hyperlink"/>
        </w:rPr>
      </w:pPr>
      <w:r w:rsidRPr="007305DE">
        <w:rPr>
          <w:color w:val="000000" w:themeColor="text1"/>
        </w:rPr>
        <w:lastRenderedPageBreak/>
        <w:t>1</w:t>
      </w:r>
      <w:r w:rsidR="009003AE">
        <w:rPr>
          <w:color w:val="000000" w:themeColor="text1"/>
        </w:rPr>
        <w:t>4</w:t>
      </w:r>
      <w:r w:rsidRPr="007305DE">
        <w:rPr>
          <w:color w:val="000000" w:themeColor="text1"/>
        </w:rPr>
        <w:t>.</w:t>
      </w:r>
      <w:r w:rsidRPr="6B478C26">
        <w:rPr>
          <w:color w:val="000000" w:themeColor="text1"/>
        </w:rPr>
        <w:t xml:space="preserve"> </w:t>
      </w:r>
      <w:commentRangeStart w:id="97"/>
      <w:r>
        <w:t>Center</w:t>
      </w:r>
      <w:commentRangeEnd w:id="97"/>
      <w:r>
        <w:rPr>
          <w:rStyle w:val="CommentReference"/>
        </w:rPr>
        <w:commentReference w:id="97"/>
      </w:r>
      <w:r>
        <w:t xml:space="preserve"> for Disease Control and Prevention (CDC), Travelers Health. </w:t>
      </w:r>
      <w:hyperlink r:id="rId26">
        <w:r w:rsidRPr="6B478C26">
          <w:rPr>
            <w:rStyle w:val="Hyperlink"/>
          </w:rPr>
          <w:t>https://wwwnc.cdc.gov/travel/</w:t>
        </w:r>
      </w:hyperlink>
    </w:p>
    <w:p w14:paraId="03EF9E4B" w14:textId="21E1BB97" w:rsidR="002A7842" w:rsidRPr="000039E4" w:rsidRDefault="00261934" w:rsidP="00D7193D">
      <w:pPr>
        <w:spacing w:after="240"/>
        <w:rPr>
          <w:color w:val="000000"/>
        </w:rPr>
      </w:pPr>
      <w:r w:rsidRPr="00FB4CC7">
        <w:rPr>
          <w:rStyle w:val="Hyperlink"/>
          <w:color w:val="auto"/>
          <w:highlight w:val="yellow"/>
          <w:u w:val="none"/>
        </w:rPr>
        <w:t>1</w:t>
      </w:r>
      <w:r w:rsidR="009003AE" w:rsidRPr="00FB4CC7">
        <w:rPr>
          <w:rStyle w:val="Hyperlink"/>
          <w:color w:val="auto"/>
          <w:highlight w:val="yellow"/>
          <w:u w:val="none"/>
        </w:rPr>
        <w:t>5</w:t>
      </w:r>
      <w:r w:rsidR="007305DE" w:rsidRPr="00FB4CC7">
        <w:rPr>
          <w:rStyle w:val="Hyperlink"/>
          <w:color w:val="auto"/>
          <w:highlight w:val="yellow"/>
          <w:u w:val="none"/>
        </w:rPr>
        <w:t>.</w:t>
      </w:r>
      <w:r w:rsidRPr="00FB4CC7">
        <w:rPr>
          <w:rStyle w:val="Hyperlink"/>
          <w:highlight w:val="yellow"/>
          <w:u w:val="none"/>
        </w:rPr>
        <w:t xml:space="preserve"> </w:t>
      </w:r>
      <w:r w:rsidR="00E45BB1" w:rsidRPr="00FB4CC7">
        <w:rPr>
          <w:color w:val="000000"/>
          <w:highlight w:val="yellow"/>
        </w:rPr>
        <w:t xml:space="preserve">Shoreland </w:t>
      </w:r>
      <w:proofErr w:type="spellStart"/>
      <w:r w:rsidR="00E45BB1" w:rsidRPr="00FB4CC7">
        <w:rPr>
          <w:color w:val="000000"/>
          <w:highlight w:val="yellow"/>
        </w:rPr>
        <w:t>Travax</w:t>
      </w:r>
      <w:proofErr w:type="spellEnd"/>
      <w:r w:rsidR="00E45BB1" w:rsidRPr="00FB4CC7">
        <w:rPr>
          <w:color w:val="000000"/>
          <w:highlight w:val="yellow"/>
        </w:rPr>
        <w:t xml:space="preserve"> (Travel Medicine)</w:t>
      </w:r>
      <w:r w:rsidR="00E40B3E" w:rsidRPr="00FB4CC7">
        <w:rPr>
          <w:color w:val="000000"/>
          <w:highlight w:val="yellow"/>
        </w:rPr>
        <w:t>.</w:t>
      </w:r>
      <w:r w:rsidR="00E45BB1" w:rsidRPr="00FB4CC7">
        <w:rPr>
          <w:color w:val="000000"/>
          <w:highlight w:val="yellow"/>
        </w:rPr>
        <w:t xml:space="preserve"> </w:t>
      </w:r>
      <w:hyperlink r:id="rId27" w:history="1">
        <w:r w:rsidR="00E45BB1" w:rsidRPr="00FB4CC7">
          <w:rPr>
            <w:rStyle w:val="Hyperlink"/>
            <w:highlight w:val="yellow"/>
          </w:rPr>
          <w:t>https://www.travax.com/</w:t>
        </w:r>
      </w:hyperlink>
      <w:r w:rsidR="00E45BB1">
        <w:rPr>
          <w:color w:val="000000"/>
        </w:rPr>
        <w:t xml:space="preserve"> </w:t>
      </w:r>
    </w:p>
    <w:p w14:paraId="6B422AA5" w14:textId="56D57D09" w:rsidR="00D7193D" w:rsidRPr="00841B3D" w:rsidRDefault="00E45BB1" w:rsidP="00D7193D">
      <w:pPr>
        <w:spacing w:after="240"/>
        <w:rPr>
          <w:highlight w:val="yellow"/>
        </w:rPr>
      </w:pPr>
      <w:r w:rsidRPr="00381E9C">
        <w:rPr>
          <w:highlight w:val="yellow"/>
        </w:rPr>
        <w:t>1</w:t>
      </w:r>
      <w:r w:rsidR="00FB4CC7" w:rsidRPr="00381E9C">
        <w:rPr>
          <w:highlight w:val="yellow"/>
        </w:rPr>
        <w:t>6</w:t>
      </w:r>
      <w:r w:rsidR="00D7193D" w:rsidRPr="00381E9C">
        <w:rPr>
          <w:highlight w:val="yellow"/>
        </w:rPr>
        <w:t xml:space="preserve">. </w:t>
      </w:r>
      <w:commentRangeStart w:id="98"/>
      <w:r w:rsidR="00D7193D" w:rsidRPr="00381E9C">
        <w:rPr>
          <w:highlight w:val="yellow"/>
        </w:rPr>
        <w:t>Modification</w:t>
      </w:r>
      <w:commentRangeEnd w:id="98"/>
      <w:r w:rsidR="00D7193D" w:rsidRPr="00381E9C">
        <w:rPr>
          <w:rStyle w:val="CommentReference"/>
          <w:highlight w:val="yellow"/>
        </w:rPr>
        <w:commentReference w:id="98"/>
      </w:r>
      <w:r w:rsidR="00D7193D" w:rsidRPr="00381E9C">
        <w:rPr>
          <w:highlight w:val="yellow"/>
        </w:rPr>
        <w:t xml:space="preserve"> </w:t>
      </w:r>
      <w:r w:rsidR="00D7193D" w:rsidRPr="6B478C26">
        <w:rPr>
          <w:highlight w:val="yellow"/>
        </w:rPr>
        <w:t>13 to United States Central Command Individual Protection and Individual Unit Deployment Policy, March 2017</w:t>
      </w:r>
    </w:p>
    <w:p w14:paraId="646AF9F8" w14:textId="19D0430B" w:rsidR="00D7193D" w:rsidRPr="00841B3D" w:rsidRDefault="00E45BB1" w:rsidP="00D7193D">
      <w:pPr>
        <w:spacing w:after="240"/>
        <w:rPr>
          <w:highlight w:val="yellow"/>
        </w:rPr>
      </w:pPr>
      <w:r w:rsidRPr="6B478C26">
        <w:rPr>
          <w:highlight w:val="yellow"/>
        </w:rPr>
        <w:t>1</w:t>
      </w:r>
      <w:r w:rsidR="00FB4CC7">
        <w:rPr>
          <w:highlight w:val="yellow"/>
        </w:rPr>
        <w:t>7</w:t>
      </w:r>
      <w:r w:rsidR="00D7193D" w:rsidRPr="6B478C26">
        <w:rPr>
          <w:highlight w:val="yellow"/>
        </w:rPr>
        <w:t>. Modification 14 to United States Central Command Individual Protection and Individual Unit Deployment Policy, October 2019.</w:t>
      </w:r>
    </w:p>
    <w:p w14:paraId="77048D03" w14:textId="158F2C39" w:rsidR="00D7193D" w:rsidRDefault="00E45BB1" w:rsidP="00D7193D">
      <w:pPr>
        <w:spacing w:after="240"/>
      </w:pPr>
      <w:r w:rsidRPr="6B478C26">
        <w:rPr>
          <w:highlight w:val="yellow"/>
        </w:rPr>
        <w:t>1</w:t>
      </w:r>
      <w:r w:rsidR="00FB4CC7">
        <w:rPr>
          <w:highlight w:val="yellow"/>
        </w:rPr>
        <w:t>8</w:t>
      </w:r>
      <w:r w:rsidR="00D7193D" w:rsidRPr="6B478C26">
        <w:rPr>
          <w:highlight w:val="yellow"/>
        </w:rPr>
        <w:t>. Modification 15 to United States Central Command Individual Protection and Individual Unit Deployment Policy, April 2020.</w:t>
      </w:r>
    </w:p>
    <w:p w14:paraId="04A297D7" w14:textId="1106EAAB" w:rsidR="00D7193D" w:rsidRDefault="00E45BB1" w:rsidP="00D7193D">
      <w:pPr>
        <w:spacing w:after="240"/>
      </w:pPr>
      <w:r w:rsidRPr="1856EB95">
        <w:rPr>
          <w:highlight w:val="yellow"/>
        </w:rPr>
        <w:t>1</w:t>
      </w:r>
      <w:r w:rsidR="00FB4CC7">
        <w:rPr>
          <w:highlight w:val="yellow"/>
        </w:rPr>
        <w:t>9</w:t>
      </w:r>
      <w:r w:rsidR="00D7193D" w:rsidRPr="1856EB95">
        <w:rPr>
          <w:highlight w:val="yellow"/>
        </w:rPr>
        <w:t xml:space="preserve">. Modification 16 to United States Central Command Individual Protection and Individual Unit Deployment Policy, January </w:t>
      </w:r>
      <w:proofErr w:type="gramStart"/>
      <w:r w:rsidR="00D7193D" w:rsidRPr="1856EB95">
        <w:rPr>
          <w:highlight w:val="yellow"/>
        </w:rPr>
        <w:t>2022.</w:t>
      </w:r>
      <w:r w:rsidR="007305DE">
        <w:t>.</w:t>
      </w:r>
      <w:proofErr w:type="gramEnd"/>
    </w:p>
    <w:p w14:paraId="6CA7CE5F" w14:textId="49377005" w:rsidR="00D7193D" w:rsidRDefault="00FB4CC7" w:rsidP="00D7193D">
      <w:pPr>
        <w:spacing w:after="240"/>
      </w:pPr>
      <w:r>
        <w:rPr>
          <w:highlight w:val="yellow"/>
        </w:rPr>
        <w:t>20</w:t>
      </w:r>
      <w:r w:rsidR="00D7193D" w:rsidRPr="00BE02FA">
        <w:rPr>
          <w:highlight w:val="yellow"/>
        </w:rPr>
        <w:t xml:space="preserve">. Modification </w:t>
      </w:r>
      <w:r w:rsidR="00D7193D" w:rsidRPr="1856EB95">
        <w:rPr>
          <w:highlight w:val="yellow"/>
        </w:rPr>
        <w:t>1</w:t>
      </w:r>
      <w:r w:rsidR="00D7193D">
        <w:rPr>
          <w:highlight w:val="yellow"/>
        </w:rPr>
        <w:t>7</w:t>
      </w:r>
      <w:r w:rsidR="00D7193D" w:rsidRPr="1856EB95">
        <w:rPr>
          <w:highlight w:val="yellow"/>
        </w:rPr>
        <w:t xml:space="preserve"> to United States Central Command Individual Protection and Individual Unit Deployment </w:t>
      </w:r>
      <w:r w:rsidR="00D7193D" w:rsidRPr="00BE02FA">
        <w:rPr>
          <w:highlight w:val="yellow"/>
        </w:rPr>
        <w:t>Policy, April 2023.</w:t>
      </w:r>
    </w:p>
    <w:p w14:paraId="7CA50659" w14:textId="359EE9CF" w:rsidR="00D7193D" w:rsidRDefault="00FB4CC7" w:rsidP="00D7193D">
      <w:pPr>
        <w:spacing w:after="240"/>
      </w:pPr>
      <w:r>
        <w:rPr>
          <w:highlight w:val="yellow"/>
        </w:rPr>
        <w:t>21</w:t>
      </w:r>
      <w:r w:rsidR="00D7193D" w:rsidRPr="6B478C26">
        <w:rPr>
          <w:highlight w:val="yellow"/>
        </w:rPr>
        <w:t xml:space="preserve">. </w:t>
      </w:r>
      <w:commentRangeStart w:id="99"/>
      <w:r w:rsidR="00D7193D" w:rsidRPr="6B478C26">
        <w:rPr>
          <w:highlight w:val="yellow"/>
        </w:rPr>
        <w:t>U</w:t>
      </w:r>
      <w:commentRangeEnd w:id="99"/>
      <w:r w:rsidR="00D7193D">
        <w:rPr>
          <w:rStyle w:val="CommentReference"/>
        </w:rPr>
        <w:commentReference w:id="99"/>
      </w:r>
      <w:r w:rsidR="00D7193D" w:rsidRPr="6B478C26">
        <w:rPr>
          <w:highlight w:val="yellow"/>
        </w:rPr>
        <w:t>.S. Africa Command Force Health Protection Requirements and Medical Guidance for Entry into the U.S. Africa Command Theater. 27 January 2017.</w:t>
      </w:r>
    </w:p>
    <w:p w14:paraId="61F17DA4" w14:textId="3DBA5E23" w:rsidR="00D7193D" w:rsidRDefault="00E45BB1" w:rsidP="00D7193D">
      <w:pPr>
        <w:spacing w:after="240"/>
      </w:pPr>
      <w:r>
        <w:rPr>
          <w:highlight w:val="yellow"/>
        </w:rPr>
        <w:t>2</w:t>
      </w:r>
      <w:r w:rsidR="00FB4CC7">
        <w:rPr>
          <w:highlight w:val="yellow"/>
        </w:rPr>
        <w:t>2</w:t>
      </w:r>
      <w:r w:rsidR="00D7193D" w:rsidRPr="6B478C26">
        <w:rPr>
          <w:highlight w:val="yellow"/>
        </w:rPr>
        <w:t>. U.S. Africa Command Force Health Protection Requirements and Medical Guidance for Entry into the U.S. Africa Command Theater 13 September 2019.</w:t>
      </w:r>
    </w:p>
    <w:p w14:paraId="086DD96B" w14:textId="4EC578DD" w:rsidR="00D7193D" w:rsidRPr="000039E4" w:rsidRDefault="00E45BB1" w:rsidP="00D7193D">
      <w:pPr>
        <w:spacing w:after="240"/>
      </w:pPr>
      <w:r w:rsidRPr="00381E9C">
        <w:t>2</w:t>
      </w:r>
      <w:r w:rsidR="00FB4CC7" w:rsidRPr="00381E9C">
        <w:t>3</w:t>
      </w:r>
      <w:r w:rsidR="00D7193D" w:rsidRPr="00381E9C">
        <w:t>.</w:t>
      </w:r>
      <w:r w:rsidR="00D7193D">
        <w:t xml:space="preserve"> </w:t>
      </w:r>
      <w:commentRangeStart w:id="100"/>
      <w:r w:rsidR="00D7193D">
        <w:t>Clinical</w:t>
      </w:r>
      <w:commentRangeEnd w:id="100"/>
      <w:r w:rsidR="00D7193D">
        <w:rPr>
          <w:rStyle w:val="CommentReference"/>
        </w:rPr>
        <w:commentReference w:id="100"/>
      </w:r>
      <w:r w:rsidR="00D7193D">
        <w:t xml:space="preserve"> </w:t>
      </w:r>
      <w:proofErr w:type="spellStart"/>
      <w:r w:rsidR="00D7193D">
        <w:t>Toxinology</w:t>
      </w:r>
      <w:proofErr w:type="spellEnd"/>
      <w:r w:rsidR="00D7193D">
        <w:t xml:space="preserve"> Resources: http://www.toxinology.com. University of Adelaide, Australia.</w:t>
      </w:r>
    </w:p>
    <w:p w14:paraId="793A935E" w14:textId="79B35C39" w:rsidR="00D7193D" w:rsidRDefault="00E45BB1" w:rsidP="00D7193D">
      <w:pPr>
        <w:spacing w:after="240"/>
      </w:pPr>
      <w:r w:rsidRPr="00381E9C">
        <w:t>2</w:t>
      </w:r>
      <w:r w:rsidR="00FB4CC7" w:rsidRPr="00381E9C">
        <w:t>4</w:t>
      </w:r>
      <w:r w:rsidR="00D7193D" w:rsidRPr="00381E9C">
        <w:t>.</w:t>
      </w:r>
      <w:r w:rsidR="00D7193D">
        <w:t xml:space="preserve"> </w:t>
      </w:r>
      <w:commentRangeStart w:id="101"/>
      <w:r w:rsidR="00D7193D">
        <w:t>Goldman</w:t>
      </w:r>
      <w:commentRangeEnd w:id="101"/>
      <w:r w:rsidR="00D7193D">
        <w:rPr>
          <w:rStyle w:val="CommentReference"/>
        </w:rPr>
        <w:commentReference w:id="101"/>
      </w:r>
      <w:r w:rsidR="00D7193D">
        <w:t xml:space="preserve"> RF. 2001. Introduction to heat-related problems in military operations. In: Textbook of military medicine: medical aspects of harsh environments Vol. 1, Pandolf KB, and Burr RE (Eds.), Office of the Surgeon General, Department of the Army, Washington DC.</w:t>
      </w:r>
    </w:p>
    <w:p w14:paraId="57347183" w14:textId="40246711" w:rsidR="00D7193D" w:rsidRDefault="00E45BB1" w:rsidP="00D7193D">
      <w:pPr>
        <w:spacing w:after="240"/>
      </w:pPr>
      <w:r w:rsidRPr="00381E9C">
        <w:rPr>
          <w:color w:val="000000" w:themeColor="text1"/>
        </w:rPr>
        <w:t>2</w:t>
      </w:r>
      <w:r w:rsidR="00FB4CC7" w:rsidRPr="00381E9C">
        <w:rPr>
          <w:color w:val="000000" w:themeColor="text1"/>
        </w:rPr>
        <w:t>5</w:t>
      </w:r>
      <w:r w:rsidR="00D7193D" w:rsidRPr="00381E9C">
        <w:rPr>
          <w:color w:val="000000" w:themeColor="text1"/>
        </w:rPr>
        <w:t>.</w:t>
      </w:r>
      <w:r w:rsidR="00D7193D" w:rsidRPr="6B478C26">
        <w:rPr>
          <w:color w:val="000000" w:themeColor="text1"/>
        </w:rPr>
        <w:t xml:space="preserve"> </w:t>
      </w:r>
      <w:commentRangeStart w:id="102"/>
      <w:r w:rsidR="00D7193D">
        <w:t>DoDI</w:t>
      </w:r>
      <w:commentRangeEnd w:id="102"/>
      <w:r w:rsidR="00D7193D">
        <w:rPr>
          <w:rStyle w:val="CommentReference"/>
        </w:rPr>
        <w:commentReference w:id="102"/>
      </w:r>
      <w:r w:rsidR="00D7193D">
        <w:t xml:space="preserve"> 6055.12, Hearing Conservation Program, 14 August 2019.</w:t>
      </w:r>
    </w:p>
    <w:p w14:paraId="11F38BE1" w14:textId="4CAEAC0A" w:rsidR="00D7193D" w:rsidRPr="00623959" w:rsidRDefault="00E45BB1" w:rsidP="00D7193D">
      <w:pPr>
        <w:spacing w:after="240"/>
      </w:pPr>
      <w:r w:rsidRPr="6B478C26">
        <w:rPr>
          <w:highlight w:val="yellow"/>
        </w:rPr>
        <w:t>2</w:t>
      </w:r>
      <w:r w:rsidR="00FB4CC7">
        <w:rPr>
          <w:highlight w:val="yellow"/>
        </w:rPr>
        <w:t>6</w:t>
      </w:r>
      <w:r w:rsidR="00D7193D" w:rsidRPr="00734687">
        <w:rPr>
          <w:highlight w:val="yellow"/>
        </w:rPr>
        <w:t xml:space="preserve">. </w:t>
      </w:r>
      <w:commentRangeStart w:id="104"/>
      <w:proofErr w:type="spellStart"/>
      <w:r w:rsidR="00D7193D" w:rsidRPr="00734687">
        <w:rPr>
          <w:highlight w:val="yellow"/>
        </w:rPr>
        <w:t>J</w:t>
      </w:r>
      <w:r w:rsidR="00D7193D" w:rsidRPr="00D7193D">
        <w:rPr>
          <w:highlight w:val="yellow"/>
        </w:rPr>
        <w:t>okel</w:t>
      </w:r>
      <w:commentRangeEnd w:id="104"/>
      <w:proofErr w:type="spellEnd"/>
      <w:r w:rsidR="00D7193D" w:rsidRPr="00D7193D">
        <w:rPr>
          <w:rStyle w:val="CommentReference"/>
          <w:highlight w:val="yellow"/>
        </w:rPr>
        <w:commentReference w:id="104"/>
      </w:r>
      <w:r w:rsidR="00D7193D" w:rsidRPr="00D7193D">
        <w:rPr>
          <w:highlight w:val="yellow"/>
        </w:rPr>
        <w:t xml:space="preserve">, C., </w:t>
      </w:r>
      <w:proofErr w:type="spellStart"/>
      <w:r w:rsidR="00D7193D" w:rsidRPr="00D7193D">
        <w:rPr>
          <w:highlight w:val="yellow"/>
        </w:rPr>
        <w:t>Yankaskas</w:t>
      </w:r>
      <w:proofErr w:type="spellEnd"/>
      <w:r w:rsidR="00D7193D" w:rsidRPr="00D7193D">
        <w:rPr>
          <w:highlight w:val="yellow"/>
        </w:rPr>
        <w:t>, K., and Robinette, M.B. 2019. Noise of Military Weapons, Ground Vehicles, Planes, and Ships. The Journal of the Acoustical Society of America. 146.</w:t>
      </w:r>
      <w:r w:rsidR="00D7193D">
        <w:t xml:space="preserve"> </w:t>
      </w:r>
    </w:p>
    <w:p w14:paraId="4749EFAF" w14:textId="11BA3175" w:rsidR="00D7193D" w:rsidRPr="00381E9C" w:rsidRDefault="00E45BB1" w:rsidP="00D7193D">
      <w:pPr>
        <w:spacing w:after="240"/>
        <w:rPr>
          <w:highlight w:val="yellow"/>
        </w:rPr>
      </w:pPr>
      <w:r w:rsidRPr="00381E9C">
        <w:rPr>
          <w:highlight w:val="yellow"/>
        </w:rPr>
        <w:t>2</w:t>
      </w:r>
      <w:r w:rsidR="00FB4CC7" w:rsidRPr="00381E9C">
        <w:rPr>
          <w:highlight w:val="yellow"/>
        </w:rPr>
        <w:t>7</w:t>
      </w:r>
      <w:r w:rsidR="00D7193D" w:rsidRPr="00381E9C">
        <w:rPr>
          <w:highlight w:val="yellow"/>
        </w:rPr>
        <w:t xml:space="preserve">. </w:t>
      </w:r>
      <w:commentRangeStart w:id="105"/>
      <w:r w:rsidR="00D7193D" w:rsidRPr="00381E9C">
        <w:rPr>
          <w:highlight w:val="yellow"/>
        </w:rPr>
        <w:t>Institute</w:t>
      </w:r>
      <w:commentRangeEnd w:id="105"/>
      <w:r w:rsidR="00D7193D" w:rsidRPr="00381E9C">
        <w:rPr>
          <w:rStyle w:val="CommentReference"/>
          <w:highlight w:val="yellow"/>
        </w:rPr>
        <w:commentReference w:id="105"/>
      </w:r>
      <w:r w:rsidR="00D7193D" w:rsidRPr="00381E9C">
        <w:rPr>
          <w:highlight w:val="yellow"/>
        </w:rPr>
        <w:t xml:space="preserve"> of Medicine. 2011. Long-term health consequences of exposure to burn pits in Iraq and Afghanistan. Washington, DC: The National Academies Press. (</w:t>
      </w:r>
      <w:hyperlink r:id="rId28" w:history="1">
        <w:r w:rsidR="00CD2F90" w:rsidRPr="00381E9C">
          <w:rPr>
            <w:rStyle w:val="Hyperlink"/>
            <w:highlight w:val="yellow"/>
          </w:rPr>
          <w:t>https://nap.nationalacademies.org/catalog/13209/long-term-health-consequences-of-exposure-to-burn-pits-in-iraq-and-afghanistan</w:t>
        </w:r>
      </w:hyperlink>
      <w:r w:rsidR="00D7193D" w:rsidRPr="00381E9C">
        <w:rPr>
          <w:highlight w:val="yellow"/>
        </w:rPr>
        <w:t>)</w:t>
      </w:r>
    </w:p>
    <w:p w14:paraId="7A7CE835" w14:textId="60FA261D" w:rsidR="00D7193D" w:rsidRDefault="00E45BB1" w:rsidP="000F656F">
      <w:pPr>
        <w:autoSpaceDE w:val="0"/>
        <w:autoSpaceDN w:val="0"/>
        <w:adjustRightInd w:val="0"/>
        <w:rPr>
          <w:color w:val="000000" w:themeColor="text1"/>
        </w:rPr>
      </w:pPr>
      <w:r w:rsidRPr="00381E9C">
        <w:rPr>
          <w:color w:val="000000" w:themeColor="text1"/>
          <w:highlight w:val="yellow"/>
        </w:rPr>
        <w:t>2</w:t>
      </w:r>
      <w:r w:rsidR="00FB4CC7" w:rsidRPr="00381E9C">
        <w:rPr>
          <w:color w:val="000000" w:themeColor="text1"/>
          <w:highlight w:val="yellow"/>
        </w:rPr>
        <w:t>8</w:t>
      </w:r>
      <w:r w:rsidR="00D7193D" w:rsidRPr="00381E9C">
        <w:rPr>
          <w:color w:val="000000" w:themeColor="text1"/>
          <w:highlight w:val="yellow"/>
        </w:rPr>
        <w:t xml:space="preserve">. </w:t>
      </w:r>
      <w:commentRangeStart w:id="106"/>
      <w:r w:rsidR="00D7193D" w:rsidRPr="00381E9C">
        <w:rPr>
          <w:color w:val="000000" w:themeColor="text1"/>
          <w:highlight w:val="yellow"/>
        </w:rPr>
        <w:t>NASEM</w:t>
      </w:r>
      <w:commentRangeEnd w:id="106"/>
      <w:r w:rsidR="00734687">
        <w:rPr>
          <w:rStyle w:val="CommentReference"/>
        </w:rPr>
        <w:commentReference w:id="106"/>
      </w:r>
      <w:r w:rsidR="00D7193D" w:rsidRPr="00381E9C">
        <w:rPr>
          <w:color w:val="000000" w:themeColor="text1"/>
          <w:highlight w:val="yellow"/>
        </w:rPr>
        <w:t>. 2020. Military Exposures and Your Health: Information for Veterans Who Served During the Gulf War ERA (1990-Present) and Their Families. 11 September 2020. (</w:t>
      </w:r>
      <w:hyperlink r:id="rId29">
        <w:r w:rsidR="00D7193D" w:rsidRPr="00381E9C">
          <w:rPr>
            <w:rStyle w:val="Hyperlink"/>
            <w:highlight w:val="yellow"/>
          </w:rPr>
          <w:t>https://www.nationalacademies.org/our-work/respiratory-health-effects-of-airborne-hazards-exposures-in-the-southwest-asia-theater-of-military-operations</w:t>
        </w:r>
      </w:hyperlink>
      <w:r w:rsidR="00D7193D" w:rsidRPr="00381E9C">
        <w:rPr>
          <w:color w:val="000000" w:themeColor="text1"/>
          <w:highlight w:val="yellow"/>
        </w:rPr>
        <w:t>)</w:t>
      </w:r>
    </w:p>
    <w:p w14:paraId="1DC97E5F" w14:textId="77777777" w:rsidR="002F0B82" w:rsidRDefault="002F0B82" w:rsidP="000F656F">
      <w:pPr>
        <w:autoSpaceDE w:val="0"/>
        <w:autoSpaceDN w:val="0"/>
        <w:adjustRightInd w:val="0"/>
        <w:rPr>
          <w:color w:val="000000" w:themeColor="text1"/>
        </w:rPr>
      </w:pPr>
    </w:p>
    <w:p w14:paraId="0695111F" w14:textId="77777777" w:rsidR="002F0B82" w:rsidRPr="007471BF" w:rsidRDefault="002F0B82" w:rsidP="00D7193D">
      <w:pPr>
        <w:autoSpaceDE w:val="0"/>
        <w:autoSpaceDN w:val="0"/>
        <w:adjustRightInd w:val="0"/>
        <w:spacing w:after="120"/>
        <w:rPr>
          <w:color w:val="000000"/>
        </w:rPr>
      </w:pPr>
    </w:p>
    <w:p w14:paraId="1CB62438" w14:textId="5255F75D" w:rsidR="0010791E" w:rsidRPr="00F83550" w:rsidRDefault="00D7193D" w:rsidP="00741EF9">
      <w:pPr>
        <w:rPr>
          <w:sz w:val="22"/>
          <w:szCs w:val="22"/>
        </w:rPr>
      </w:pPr>
      <w:r>
        <w:rPr>
          <w:rFonts w:eastAsia="Arial" w:cs="Arial"/>
        </w:rPr>
        <w:br w:type="page"/>
      </w:r>
      <w:r w:rsidR="0010791E" w:rsidRPr="00F83550">
        <w:lastRenderedPageBreak/>
        <w:t>Where Do I Get More Information?</w:t>
      </w:r>
    </w:p>
    <w:p w14:paraId="4515D3E1" w14:textId="77777777" w:rsidR="005F76BB" w:rsidRPr="00F83550" w:rsidRDefault="005F76BB" w:rsidP="0051520C"/>
    <w:tbl>
      <w:tblPr>
        <w:tblStyle w:val="TableGrid"/>
        <w:tblW w:w="0" w:type="auto"/>
        <w:tblInd w:w="18" w:type="dxa"/>
        <w:tblLook w:val="04A0" w:firstRow="1" w:lastRow="0" w:firstColumn="1" w:lastColumn="0" w:noHBand="0" w:noVBand="1"/>
      </w:tblPr>
      <w:tblGrid>
        <w:gridCol w:w="10052"/>
      </w:tblGrid>
      <w:tr w:rsidR="005F76BB" w:rsidRPr="00F83550" w14:paraId="2C12FC39" w14:textId="77777777" w:rsidTr="550497D9">
        <w:tc>
          <w:tcPr>
            <w:tcW w:w="10170" w:type="dxa"/>
          </w:tcPr>
          <w:p w14:paraId="716E35CD" w14:textId="3238F5FF" w:rsidR="005F76BB" w:rsidRPr="00F83550" w:rsidRDefault="00173687" w:rsidP="0051520C">
            <w:r w:rsidRPr="00173687">
              <w:t xml:space="preserve">If a provider feels that the Service member’s or Veteran’s current medical condition may be attributed to specific OEH exposures at this deployment location, he/she can contact the </w:t>
            </w:r>
            <w:r w:rsidR="000228B9">
              <w:t xml:space="preserve">Defense </w:t>
            </w:r>
            <w:r w:rsidR="00192F35">
              <w:t>Centers for Public Health</w:t>
            </w:r>
            <w:r w:rsidRPr="00173687">
              <w:t xml:space="preserve"> organization below</w:t>
            </w:r>
            <w:r w:rsidR="002C6D14">
              <w:t xml:space="preserve">. </w:t>
            </w:r>
            <w:r w:rsidRPr="00173687">
              <w:t>Organizations external to DoD should contact Deputy Assistant Secretary of Defense for Health Readiness Policy and Oversight (HRP&amp;O).</w:t>
            </w:r>
          </w:p>
        </w:tc>
      </w:tr>
      <w:tr w:rsidR="005F76BB" w:rsidRPr="00F83550" w14:paraId="417F3EDC" w14:textId="77777777" w:rsidTr="550497D9">
        <w:trPr>
          <w:trHeight w:val="935"/>
        </w:trPr>
        <w:tc>
          <w:tcPr>
            <w:tcW w:w="10170" w:type="dxa"/>
          </w:tcPr>
          <w:p w14:paraId="6F62EF32" w14:textId="22058333" w:rsidR="005F76BB" w:rsidRPr="00F83550" w:rsidRDefault="008B7861" w:rsidP="0051520C">
            <w:r>
              <w:rPr>
                <w:b/>
              </w:rPr>
              <w:t>Defense Center</w:t>
            </w:r>
            <w:r w:rsidR="00192F35">
              <w:rPr>
                <w:b/>
              </w:rPr>
              <w:t>s</w:t>
            </w:r>
            <w:r>
              <w:rPr>
                <w:b/>
              </w:rPr>
              <w:t xml:space="preserve"> for </w:t>
            </w:r>
            <w:r w:rsidR="00173687" w:rsidRPr="00173687">
              <w:rPr>
                <w:b/>
              </w:rPr>
              <w:t>Pu</w:t>
            </w:r>
            <w:r w:rsidR="00837713">
              <w:rPr>
                <w:b/>
              </w:rPr>
              <w:t xml:space="preserve">blic Health </w:t>
            </w:r>
            <w:r>
              <w:rPr>
                <w:b/>
              </w:rPr>
              <w:t xml:space="preserve">– Aberdeen </w:t>
            </w:r>
            <w:r w:rsidR="0086225F">
              <w:t>(</w:t>
            </w:r>
            <w:r w:rsidR="0039424B">
              <w:t xml:space="preserve">formerly </w:t>
            </w:r>
            <w:r w:rsidR="0086225F">
              <w:t>APHC) Phone</w:t>
            </w:r>
            <w:r w:rsidR="00944B97">
              <w:t xml:space="preserve">: </w:t>
            </w:r>
            <w:r w:rsidR="00173687" w:rsidRPr="005571DE">
              <w:t>800</w:t>
            </w:r>
            <w:r w:rsidR="000228B9">
              <w:t>-</w:t>
            </w:r>
            <w:r w:rsidR="00173687" w:rsidRPr="005571DE">
              <w:t>222-9698</w:t>
            </w:r>
            <w:r w:rsidR="002C6D14">
              <w:t xml:space="preserve">. </w:t>
            </w:r>
            <w:hyperlink r:id="rId30" w:history="1">
              <w:r w:rsidR="000228B9">
                <w:rPr>
                  <w:rStyle w:val="Hyperlink"/>
                </w:rPr>
                <w:t>https://ph.health.mil/Pages/default.aspx</w:t>
              </w:r>
            </w:hyperlink>
            <w:r w:rsidR="00AD6AA3">
              <w:t xml:space="preserve"> </w:t>
            </w:r>
          </w:p>
        </w:tc>
      </w:tr>
      <w:tr w:rsidR="005F76BB" w:rsidRPr="00F83550" w14:paraId="670FAAAF" w14:textId="77777777" w:rsidTr="550497D9">
        <w:trPr>
          <w:trHeight w:val="980"/>
        </w:trPr>
        <w:tc>
          <w:tcPr>
            <w:tcW w:w="10170" w:type="dxa"/>
          </w:tcPr>
          <w:p w14:paraId="499B54C3" w14:textId="20B95736" w:rsidR="005F76BB" w:rsidRPr="00F83550" w:rsidRDefault="008B7861" w:rsidP="0051520C">
            <w:r>
              <w:rPr>
                <w:b/>
              </w:rPr>
              <w:t>Defense Center</w:t>
            </w:r>
            <w:r w:rsidR="00192F35">
              <w:rPr>
                <w:b/>
              </w:rPr>
              <w:t>s</w:t>
            </w:r>
            <w:r>
              <w:rPr>
                <w:b/>
              </w:rPr>
              <w:t xml:space="preserve"> for </w:t>
            </w:r>
            <w:r w:rsidRPr="00173687">
              <w:rPr>
                <w:b/>
              </w:rPr>
              <w:t>Pu</w:t>
            </w:r>
            <w:r>
              <w:rPr>
                <w:b/>
              </w:rPr>
              <w:t>blic Health – Por</w:t>
            </w:r>
            <w:r w:rsidR="00D7193D">
              <w:rPr>
                <w:b/>
              </w:rPr>
              <w:t>t</w:t>
            </w:r>
            <w:r>
              <w:rPr>
                <w:b/>
              </w:rPr>
              <w:t>smouth</w:t>
            </w:r>
            <w:r w:rsidR="00173687" w:rsidRPr="0039424B">
              <w:rPr>
                <w:bCs/>
              </w:rPr>
              <w:t xml:space="preserve"> </w:t>
            </w:r>
            <w:r w:rsidR="0039424B" w:rsidRPr="0039424B">
              <w:rPr>
                <w:bCs/>
              </w:rPr>
              <w:t>(</w:t>
            </w:r>
            <w:r w:rsidR="0039424B">
              <w:rPr>
                <w:bCs/>
              </w:rPr>
              <w:t>formerly NMCPHC</w:t>
            </w:r>
            <w:r w:rsidR="0039424B" w:rsidRPr="0039424B">
              <w:rPr>
                <w:bCs/>
              </w:rPr>
              <w:t>)</w:t>
            </w:r>
            <w:r w:rsidR="0039424B">
              <w:rPr>
                <w:b/>
              </w:rPr>
              <w:t xml:space="preserve"> </w:t>
            </w:r>
            <w:r w:rsidR="00944B97">
              <w:t xml:space="preserve">Phone: </w:t>
            </w:r>
            <w:r w:rsidR="00173687" w:rsidRPr="005571DE">
              <w:t>757</w:t>
            </w:r>
            <w:r w:rsidR="000228B9">
              <w:t>-</w:t>
            </w:r>
            <w:r w:rsidR="00173687" w:rsidRPr="005571DE">
              <w:t>953-0700</w:t>
            </w:r>
            <w:r w:rsidR="002C6D14">
              <w:t xml:space="preserve">. </w:t>
            </w:r>
            <w:hyperlink r:id="rId31" w:history="1">
              <w:r w:rsidR="001F15FA">
                <w:rPr>
                  <w:rStyle w:val="Hyperlink"/>
                </w:rPr>
                <w:t>https://www.med.navy.mil/Navy-and-Marine-Corps-Force-Health-Protection-Command/Pages/Home/</w:t>
              </w:r>
            </w:hyperlink>
          </w:p>
        </w:tc>
      </w:tr>
      <w:tr w:rsidR="005F76BB" w:rsidRPr="00F83550" w14:paraId="1892C24D" w14:textId="77777777" w:rsidTr="550497D9">
        <w:trPr>
          <w:trHeight w:val="800"/>
        </w:trPr>
        <w:tc>
          <w:tcPr>
            <w:tcW w:w="10170" w:type="dxa"/>
          </w:tcPr>
          <w:p w14:paraId="5F13E05A" w14:textId="030FAB5D" w:rsidR="005F76BB" w:rsidRPr="00F83550" w:rsidRDefault="008B7861" w:rsidP="0051520C">
            <w:r>
              <w:rPr>
                <w:b/>
              </w:rPr>
              <w:t>Defense Center</w:t>
            </w:r>
            <w:r w:rsidR="00192F35">
              <w:rPr>
                <w:b/>
              </w:rPr>
              <w:t>s</w:t>
            </w:r>
            <w:r>
              <w:rPr>
                <w:b/>
              </w:rPr>
              <w:t xml:space="preserve"> for </w:t>
            </w:r>
            <w:r w:rsidRPr="00173687">
              <w:rPr>
                <w:b/>
              </w:rPr>
              <w:t>Pu</w:t>
            </w:r>
            <w:r>
              <w:rPr>
                <w:b/>
              </w:rPr>
              <w:t>blic Health – Dayton</w:t>
            </w:r>
            <w:r w:rsidR="00173687" w:rsidRPr="00AD6AA3">
              <w:rPr>
                <w:bCs/>
              </w:rPr>
              <w:t xml:space="preserve"> </w:t>
            </w:r>
            <w:r w:rsidR="00944B97">
              <w:t xml:space="preserve">Phone: </w:t>
            </w:r>
            <w:r w:rsidR="00173687" w:rsidRPr="005571DE">
              <w:t>888</w:t>
            </w:r>
            <w:r w:rsidR="000228B9">
              <w:t>-</w:t>
            </w:r>
            <w:r w:rsidR="00173687" w:rsidRPr="005571DE">
              <w:t xml:space="preserve">232-3764. </w:t>
            </w:r>
            <w:hyperlink r:id="rId32" w:history="1">
              <w:r w:rsidR="001F15FA">
                <w:rPr>
                  <w:rStyle w:val="Hyperlink"/>
                </w:rPr>
                <w:t>https://www.afrl.af.mil/711HPW/USAFSAM/</w:t>
              </w:r>
            </w:hyperlink>
            <w:r w:rsidR="00562589">
              <w:t xml:space="preserve"> </w:t>
            </w:r>
          </w:p>
        </w:tc>
      </w:tr>
      <w:tr w:rsidR="005F76BB" w:rsidRPr="00F83550" w14:paraId="702EF446" w14:textId="77777777" w:rsidTr="550497D9">
        <w:trPr>
          <w:trHeight w:val="980"/>
        </w:trPr>
        <w:tc>
          <w:tcPr>
            <w:tcW w:w="10170" w:type="dxa"/>
          </w:tcPr>
          <w:p w14:paraId="5134C323" w14:textId="769089DB" w:rsidR="005F76BB" w:rsidRPr="00F83550" w:rsidRDefault="00AB4C93" w:rsidP="550497D9">
            <w:pPr>
              <w:rPr>
                <w:rFonts w:eastAsia="Arial" w:cs="Arial"/>
              </w:rPr>
            </w:pPr>
            <w:r w:rsidRPr="550497D9">
              <w:rPr>
                <w:b/>
                <w:bCs/>
              </w:rPr>
              <w:t>Deputy Assistant Secretary of Defense for</w:t>
            </w:r>
            <w:r w:rsidR="00173687" w:rsidRPr="550497D9">
              <w:rPr>
                <w:b/>
                <w:bCs/>
              </w:rPr>
              <w:t xml:space="preserve"> Health Readiness Policy and Oversight (HRP&amp;O</w:t>
            </w:r>
            <w:r w:rsidR="005571DE" w:rsidRPr="550497D9">
              <w:rPr>
                <w:b/>
                <w:bCs/>
              </w:rPr>
              <w:t>)</w:t>
            </w:r>
            <w:r w:rsidR="00173687" w:rsidRPr="550497D9">
              <w:rPr>
                <w:b/>
                <w:bCs/>
              </w:rPr>
              <w:t xml:space="preserve"> </w:t>
            </w:r>
            <w:r w:rsidR="00173687">
              <w:t>Phone</w:t>
            </w:r>
            <w:r w:rsidR="00944B97">
              <w:t xml:space="preserve">: </w:t>
            </w:r>
            <w:r w:rsidR="005571DE">
              <w:t>800</w:t>
            </w:r>
            <w:r w:rsidR="000228B9">
              <w:t>-</w:t>
            </w:r>
            <w:r w:rsidR="005571DE">
              <w:t>497-6261</w:t>
            </w:r>
            <w:r w:rsidR="002C6D14">
              <w:t xml:space="preserve">. </w:t>
            </w:r>
            <w:r w:rsidR="00A47A88" w:rsidRPr="550497D9">
              <w:rPr>
                <w:rFonts w:eastAsia="Arial" w:cs="Arial"/>
                <w:color w:val="0000FF"/>
                <w:u w:val="single"/>
              </w:rPr>
              <w:t>https://www.health.mil/About-MHS/OASDHA/HRPO</w:t>
            </w:r>
          </w:p>
        </w:tc>
      </w:tr>
    </w:tbl>
    <w:p w14:paraId="35D0888E" w14:textId="1C34FB23" w:rsidR="000D4793" w:rsidRPr="00F83550" w:rsidRDefault="000D4793" w:rsidP="0051520C"/>
    <w:sectPr w:rsidR="000D4793" w:rsidRPr="00F83550" w:rsidSect="00847BE8">
      <w:headerReference w:type="default" r:id="rId33"/>
      <w:footerReference w:type="default" r:id="rId34"/>
      <w:pgSz w:w="12240" w:h="15840" w:code="1"/>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27CD3AE" w14:textId="77777777" w:rsidR="008807E6" w:rsidRDefault="008B7861">
      <w:pPr>
        <w:pStyle w:val="CommentText"/>
      </w:pPr>
      <w:r>
        <w:rPr>
          <w:rStyle w:val="CommentReference"/>
        </w:rPr>
        <w:annotationRef/>
      </w:r>
      <w:r w:rsidR="008807E6">
        <w:t xml:space="preserve">Provide the main location covered by this POEMS (i.e., Camp XXX) followed by the "and vicinity" locations in alphabetical order. </w:t>
      </w:r>
    </w:p>
    <w:p w14:paraId="39D1AC8D" w14:textId="77777777" w:rsidR="008807E6" w:rsidRDefault="008807E6">
      <w:pPr>
        <w:pStyle w:val="CommentText"/>
      </w:pPr>
      <w:r>
        <w:t xml:space="preserve">Criteria for In Vicinity: </w:t>
      </w:r>
    </w:p>
    <w:p w14:paraId="3BD57E41" w14:textId="77777777" w:rsidR="008807E6" w:rsidRDefault="008807E6">
      <w:pPr>
        <w:pStyle w:val="CommentText"/>
      </w:pPr>
      <w:r>
        <w:t>1) look at previous POEMS for base camp list</w:t>
      </w:r>
    </w:p>
    <w:p w14:paraId="08596613" w14:textId="77777777" w:rsidR="008807E6" w:rsidRDefault="008807E6">
      <w:pPr>
        <w:pStyle w:val="CommentText"/>
      </w:pPr>
      <w:r>
        <w:t>2) base camps within 25 miles</w:t>
      </w:r>
    </w:p>
    <w:p w14:paraId="68AD8DF0" w14:textId="77777777" w:rsidR="008807E6" w:rsidRDefault="008807E6">
      <w:pPr>
        <w:pStyle w:val="CommentText"/>
      </w:pPr>
      <w:r>
        <w:t xml:space="preserve">3) terrain (use google earth) </w:t>
      </w:r>
    </w:p>
    <w:p w14:paraId="652B2260" w14:textId="77777777" w:rsidR="008807E6" w:rsidRDefault="008807E6">
      <w:pPr>
        <w:pStyle w:val="CommentText"/>
      </w:pPr>
      <w:r>
        <w:t>- if base camps separated by mountains, consider excluding as an in vicinity base camp</w:t>
      </w:r>
    </w:p>
    <w:p w14:paraId="3BACF5FA" w14:textId="77777777" w:rsidR="008807E6" w:rsidRDefault="008807E6" w:rsidP="009E5025">
      <w:pPr>
        <w:pStyle w:val="CommentText"/>
      </w:pPr>
      <w:r>
        <w:t>- if uniform terrain (i.e., flat) consider including as in vicinity base camp</w:t>
      </w:r>
    </w:p>
  </w:comment>
  <w:comment w:id="6" w:author="Author" w:initials="A">
    <w:p w14:paraId="310A7F34" w14:textId="77777777" w:rsidR="00994F37" w:rsidRDefault="00994F37" w:rsidP="00994F37">
      <w:pPr>
        <w:pStyle w:val="CommentText"/>
      </w:pPr>
      <w:r>
        <w:rPr>
          <w:rStyle w:val="CommentReference"/>
        </w:rPr>
        <w:annotationRef/>
      </w:r>
      <w:r>
        <w:t xml:space="preserve">Retain </w:t>
      </w:r>
      <w:r>
        <w:rPr>
          <w:b/>
          <w:bCs/>
        </w:rPr>
        <w:t>ONLY</w:t>
      </w:r>
      <w:r>
        <w:t xml:space="preserve"> if your location is covered by the AHOBPR (see section 2.2 for locations covered). </w:t>
      </w:r>
    </w:p>
  </w:comment>
  <w:comment w:id="7" w:author="Author" w:initials="A">
    <w:p w14:paraId="6A74E318" w14:textId="39AC2E00" w:rsidR="008B7861" w:rsidRDefault="008B7861" w:rsidP="0051520C">
      <w:pPr>
        <w:pStyle w:val="CommentText"/>
      </w:pPr>
      <w:r>
        <w:rPr>
          <w:rStyle w:val="CommentReference"/>
        </w:rPr>
        <w:annotationRef/>
      </w:r>
      <w:r>
        <w:t xml:space="preserve">This table serves as a quick reference to what is in the body of the POEMS. Make sure that Table 2 contents match health risks reported in the body of the report. </w:t>
      </w:r>
    </w:p>
  </w:comment>
  <w:comment w:id="8" w:author="Author" w:initials="A">
    <w:p w14:paraId="1FEA48C9" w14:textId="77777777" w:rsidR="00AC71C5" w:rsidRDefault="00AC71C5" w:rsidP="00526966">
      <w:pPr>
        <w:pStyle w:val="CommentText"/>
      </w:pPr>
      <w:r>
        <w:rPr>
          <w:rStyle w:val="CommentReference"/>
        </w:rPr>
        <w:annotationRef/>
      </w:r>
      <w:r>
        <w:t>Add non-standard air pollutants (e.g., dioxins/furans, NO2, O3, etc.) to Table 2 if applicable.</w:t>
      </w:r>
    </w:p>
  </w:comment>
  <w:comment w:id="9" w:author="Author" w:initials="A">
    <w:p w14:paraId="7494DB63" w14:textId="2544A9D6" w:rsidR="67E4755C" w:rsidRDefault="67E4755C">
      <w:pPr>
        <w:pStyle w:val="CommentText"/>
      </w:pPr>
      <w:r>
        <w:t xml:space="preserve">The Control Measures Implements SHOULD be the known controls that were implemented for your location(s) if known. For example, if VS-Approved bottled water was provided for drinking then state so in that section. </w:t>
      </w:r>
      <w:r>
        <w:rPr>
          <w:rStyle w:val="CommentReference"/>
        </w:rPr>
        <w:annotationRef/>
      </w:r>
    </w:p>
  </w:comment>
  <w:comment w:id="10" w:author="Author" w:initials="A">
    <w:p w14:paraId="478C6D6C" w14:textId="77777777" w:rsidR="00467021" w:rsidRDefault="00467021" w:rsidP="001F7621">
      <w:pPr>
        <w:pStyle w:val="CommentText"/>
      </w:pPr>
      <w:r>
        <w:rPr>
          <w:rStyle w:val="CommentReference"/>
        </w:rPr>
        <w:annotationRef/>
      </w:r>
      <w:r>
        <w:t xml:space="preserve">Omit row if no PM10 samples were collected during the assessment timeframe  </w:t>
      </w:r>
    </w:p>
  </w:comment>
  <w:comment w:id="11" w:author="Author" w:initials="A">
    <w:p w14:paraId="22EA118D" w14:textId="77777777" w:rsidR="00467021" w:rsidRDefault="00467021">
      <w:pPr>
        <w:pStyle w:val="CommentText"/>
      </w:pPr>
      <w:r>
        <w:rPr>
          <w:rStyle w:val="CommentReference"/>
        </w:rPr>
        <w:annotationRef/>
      </w:r>
      <w:r>
        <w:t>Example language if insufficient samples. Same applies to PM2.5:</w:t>
      </w:r>
    </w:p>
    <w:p w14:paraId="7A2FBB87" w14:textId="77777777" w:rsidR="00467021" w:rsidRDefault="00467021" w:rsidP="0054270C">
      <w:pPr>
        <w:pStyle w:val="CommentText"/>
      </w:pPr>
      <w:r>
        <w:t xml:space="preserve">Although there were not enough samples to quantify risk during the time period of this assessment, daily levels </w:t>
      </w:r>
      <w:r>
        <w:rPr>
          <w:highlight w:val="yellow"/>
        </w:rPr>
        <w:t>varied</w:t>
      </w:r>
      <w:r>
        <w:t>. Acute health effects (e.g., upper respiratory tract irritation) are more pronounced during peak days. More serious effects are possible in susceptible persons (e.g., those with asthma/pre-existing respiratory diseases).</w:t>
      </w:r>
    </w:p>
  </w:comment>
  <w:comment w:id="13" w:author="Author" w:initials="A">
    <w:p w14:paraId="5EEB7379" w14:textId="77777777" w:rsidR="008B7861" w:rsidRDefault="008B7861" w:rsidP="0051520C">
      <w:pPr>
        <w:pStyle w:val="CommentText"/>
      </w:pPr>
      <w:r>
        <w:rPr>
          <w:rStyle w:val="CommentReference"/>
        </w:rPr>
        <w:annotationRef/>
      </w:r>
      <w:r>
        <w:t>Example language if insufficient samples:</w:t>
      </w:r>
    </w:p>
    <w:p w14:paraId="09B9C87F" w14:textId="77777777" w:rsidR="008B7861" w:rsidRPr="000B64AE" w:rsidRDefault="008B7861" w:rsidP="0051520C">
      <w:pPr>
        <w:pStyle w:val="CommentText"/>
      </w:pPr>
      <w:r w:rsidRPr="000B64AE">
        <w:t>Although there were not enough samples to quantify risk, a small percentage of personnel may be at increased risk for developing chronic conditions, particularly those more susceptible to acute effects (e.g., those with asthma/pre-existing respiratory diseases).</w:t>
      </w:r>
    </w:p>
  </w:comment>
  <w:comment w:id="14" w:author="Author" w:initials="A">
    <w:p w14:paraId="2E0EC14C" w14:textId="77777777" w:rsidR="00811582" w:rsidRDefault="00811582" w:rsidP="00FB3807">
      <w:pPr>
        <w:pStyle w:val="CommentText"/>
      </w:pPr>
      <w:r>
        <w:rPr>
          <w:rStyle w:val="CommentReference"/>
        </w:rPr>
        <w:annotationRef/>
      </w:r>
      <w:r>
        <w:t>Include O3 and NO2 in table if have NASA data.</w:t>
      </w:r>
    </w:p>
  </w:comment>
  <w:comment w:id="15" w:author="Author" w:initials="A">
    <w:p w14:paraId="5A102C2C" w14:textId="3834239A" w:rsidR="67E4755C" w:rsidRDefault="67E4755C">
      <w:pPr>
        <w:pStyle w:val="CommentText"/>
      </w:pPr>
      <w:r>
        <w:t>Indicate here if it is known that the water was or was not meeting the standards. For example, lesser quality water (doesn't meet the TB MED 577 LTP standards) may have been provided for showers because that the only water available.</w:t>
      </w:r>
      <w:r>
        <w:rPr>
          <w:rStyle w:val="CommentReference"/>
        </w:rPr>
        <w:annotationRef/>
      </w:r>
    </w:p>
  </w:comment>
  <w:comment w:id="16" w:author="Author" w:initials="A">
    <w:p w14:paraId="39440D93" w14:textId="6ED42F32" w:rsidR="00D93E96" w:rsidRDefault="00D93E96">
      <w:pPr>
        <w:pStyle w:val="CommentText"/>
      </w:pPr>
      <w:r>
        <w:rPr>
          <w:rStyle w:val="CommentReference"/>
        </w:rPr>
        <w:annotationRef/>
      </w:r>
      <w:r>
        <w:t>Make this specific to your POEMS. That is, if the OEHSA(s) provide risk levels then state so here. If not, delete this sentence.</w:t>
      </w:r>
    </w:p>
  </w:comment>
  <w:comment w:id="17" w:author="Author" w:initials="A">
    <w:p w14:paraId="6308CC99" w14:textId="220D9E36" w:rsidR="00C70EC9" w:rsidRDefault="00C70EC9">
      <w:pPr>
        <w:pStyle w:val="CommentText"/>
      </w:pPr>
      <w:r>
        <w:rPr>
          <w:rStyle w:val="CommentReference"/>
        </w:rPr>
        <w:annotationRef/>
      </w:r>
      <w:r w:rsidR="00E10223">
        <w:t>Same comment as above</w:t>
      </w:r>
    </w:p>
  </w:comment>
  <w:comment w:id="18" w:author="Author" w:initials="A">
    <w:p w14:paraId="6D95A0B2" w14:textId="77777777" w:rsidR="00811582" w:rsidRDefault="00811582" w:rsidP="00277242">
      <w:pPr>
        <w:pStyle w:val="CommentText"/>
      </w:pPr>
      <w:r>
        <w:rPr>
          <w:rStyle w:val="CommentReference"/>
        </w:rPr>
        <w:annotationRef/>
      </w:r>
      <w:r>
        <w:t>Include only if timely treatment was available; not all locations will have timely treatment available.</w:t>
      </w:r>
    </w:p>
  </w:comment>
  <w:comment w:id="19" w:author="Author" w:initials="A">
    <w:p w14:paraId="79931E6F" w14:textId="60E35E11" w:rsidR="67E4755C" w:rsidRDefault="67E4755C">
      <w:pPr>
        <w:pStyle w:val="CommentText"/>
      </w:pPr>
      <w:r>
        <w:t>Reminder: this is Mitigated risk. Keep this in mind for the rest of this column.</w:t>
      </w:r>
      <w:r>
        <w:rPr>
          <w:rStyle w:val="CommentReference"/>
        </w:rPr>
        <w:annotationRef/>
      </w:r>
    </w:p>
  </w:comment>
  <w:comment w:id="20" w:author="Author" w:initials="A">
    <w:p w14:paraId="374D53F4" w14:textId="77777777" w:rsidR="00EB48CD" w:rsidRDefault="00EB48CD" w:rsidP="0051520C">
      <w:pPr>
        <w:pStyle w:val="CommentText"/>
      </w:pPr>
      <w:r>
        <w:rPr>
          <w:rStyle w:val="CommentReference"/>
        </w:rPr>
        <w:annotationRef/>
      </w:r>
      <w:r>
        <w:t>If no information is found in the OEHSA etc. then insert “No information available” for short- and long-term</w:t>
      </w:r>
    </w:p>
  </w:comment>
  <w:comment w:id="21" w:author="Author" w:initials="A">
    <w:p w14:paraId="57107740" w14:textId="77777777" w:rsidR="004F0604" w:rsidRDefault="004F0604" w:rsidP="000A5D1D">
      <w:pPr>
        <w:pStyle w:val="CommentText"/>
      </w:pPr>
      <w:r>
        <w:rPr>
          <w:rStyle w:val="CommentReference"/>
        </w:rPr>
        <w:annotationRef/>
      </w:r>
      <w:r>
        <w:t>Add other Unique Incidents to table when applicable. These can include any type of "Directed Energy" weapon exposures or other non-typical exposures that are often documented in an Incident Report.</w:t>
      </w:r>
    </w:p>
  </w:comment>
  <w:comment w:id="22" w:author="Author" w:initials="A">
    <w:p w14:paraId="39F3B0FE" w14:textId="77777777" w:rsidR="004F0604" w:rsidRDefault="004F0604" w:rsidP="00DC6CF0">
      <w:pPr>
        <w:pStyle w:val="CommentText"/>
      </w:pPr>
      <w:r>
        <w:rPr>
          <w:rStyle w:val="CommentReference"/>
        </w:rPr>
        <w:annotationRef/>
      </w:r>
      <w:r>
        <w:t>Indicate if the burn pit(s) are on and/or off the camp. Include the date range (e.g., (20xx – 20xx) if the burn pit(s) were only active during part of the period of the POEMS. Note if the burn pit(s) are operated by DoD, DoD contractor, local nationals, etc.</w:t>
      </w:r>
    </w:p>
  </w:comment>
  <w:comment w:id="24" w:author="Author" w:initials="A">
    <w:p w14:paraId="5A891146" w14:textId="77777777" w:rsidR="00317095" w:rsidRDefault="009E6CC7" w:rsidP="006347A2">
      <w:pPr>
        <w:pStyle w:val="CommentText"/>
      </w:pPr>
      <w:r>
        <w:rPr>
          <w:rStyle w:val="CommentReference"/>
        </w:rPr>
        <w:annotationRef/>
      </w:r>
      <w:r w:rsidR="00317095">
        <w:t>FINAL PUBLICATIONS CHECK – ensure all acronyms are defined the first time they’re used in your POEMS. Also, you don’t abbreviate or insert acronyms if a term is only used once.</w:t>
      </w:r>
    </w:p>
  </w:comment>
  <w:comment w:id="25" w:author="Author" w:initials="A">
    <w:p w14:paraId="0100C1E2" w14:textId="1645521C" w:rsidR="7CB38B91" w:rsidRDefault="7CB38B91">
      <w:pPr>
        <w:pStyle w:val="CommentText"/>
      </w:pPr>
      <w:r>
        <w:t xml:space="preserve">Think about the site scenario and if any additional content would be appropriate to add. For example. add an explanatory paragraph if the camp is surrounded by or adjacent to a major air pollution emitter. </w:t>
      </w:r>
      <w:r>
        <w:rPr>
          <w:rStyle w:val="CommentReference"/>
        </w:rPr>
        <w:annotationRef/>
      </w:r>
    </w:p>
  </w:comment>
  <w:comment w:id="26" w:author="Author" w:initials="A">
    <w:p w14:paraId="4E49C07E" w14:textId="77777777" w:rsidR="004D0BB1" w:rsidRDefault="0052329D" w:rsidP="004D0BB1">
      <w:pPr>
        <w:pStyle w:val="CommentText"/>
        <w:numPr>
          <w:ilvl w:val="0"/>
          <w:numId w:val="22"/>
        </w:numPr>
      </w:pPr>
      <w:r>
        <w:rPr>
          <w:rStyle w:val="CommentReference"/>
        </w:rPr>
        <w:annotationRef/>
      </w:r>
      <w:r w:rsidR="004D0BB1">
        <w:rPr>
          <w:color w:val="001C2F"/>
          <w:highlight w:val="white"/>
        </w:rPr>
        <w:t>Afghanistan</w:t>
      </w:r>
    </w:p>
    <w:p w14:paraId="7E6A764A" w14:textId="77777777" w:rsidR="004D0BB1" w:rsidRDefault="004D0BB1" w:rsidP="004D0BB1">
      <w:pPr>
        <w:pStyle w:val="CommentText"/>
        <w:numPr>
          <w:ilvl w:val="0"/>
          <w:numId w:val="22"/>
        </w:numPr>
      </w:pPr>
      <w:r>
        <w:rPr>
          <w:color w:val="001C2F"/>
          <w:highlight w:val="white"/>
        </w:rPr>
        <w:t>Bahrain</w:t>
      </w:r>
    </w:p>
    <w:p w14:paraId="5548F0E3" w14:textId="77777777" w:rsidR="004D0BB1" w:rsidRDefault="004D0BB1" w:rsidP="004D0BB1">
      <w:pPr>
        <w:pStyle w:val="CommentText"/>
        <w:numPr>
          <w:ilvl w:val="0"/>
          <w:numId w:val="22"/>
        </w:numPr>
      </w:pPr>
      <w:r>
        <w:rPr>
          <w:color w:val="001C2F"/>
          <w:highlight w:val="white"/>
        </w:rPr>
        <w:t>Djibouti</w:t>
      </w:r>
    </w:p>
    <w:p w14:paraId="6A4E25FB" w14:textId="77777777" w:rsidR="004D0BB1" w:rsidRDefault="004D0BB1" w:rsidP="004D0BB1">
      <w:pPr>
        <w:pStyle w:val="CommentText"/>
        <w:numPr>
          <w:ilvl w:val="0"/>
          <w:numId w:val="22"/>
        </w:numPr>
      </w:pPr>
      <w:r>
        <w:rPr>
          <w:color w:val="001C2F"/>
          <w:highlight w:val="white"/>
        </w:rPr>
        <w:t>Egypt</w:t>
      </w:r>
    </w:p>
    <w:p w14:paraId="5313EF24" w14:textId="77777777" w:rsidR="004D0BB1" w:rsidRDefault="004D0BB1" w:rsidP="004D0BB1">
      <w:pPr>
        <w:pStyle w:val="CommentText"/>
        <w:numPr>
          <w:ilvl w:val="0"/>
          <w:numId w:val="22"/>
        </w:numPr>
      </w:pPr>
      <w:r>
        <w:rPr>
          <w:color w:val="001C2F"/>
          <w:highlight w:val="white"/>
        </w:rPr>
        <w:t>Gulf of Aden,</w:t>
      </w:r>
    </w:p>
    <w:p w14:paraId="3ECA1391" w14:textId="77777777" w:rsidR="004D0BB1" w:rsidRDefault="004D0BB1" w:rsidP="004D0BB1">
      <w:pPr>
        <w:pStyle w:val="CommentText"/>
        <w:numPr>
          <w:ilvl w:val="0"/>
          <w:numId w:val="22"/>
        </w:numPr>
      </w:pPr>
      <w:r>
        <w:rPr>
          <w:color w:val="001C2F"/>
          <w:highlight w:val="white"/>
        </w:rPr>
        <w:t>Gulf of Oman</w:t>
      </w:r>
    </w:p>
    <w:p w14:paraId="695D7332" w14:textId="77777777" w:rsidR="004D0BB1" w:rsidRDefault="004D0BB1" w:rsidP="004D0BB1">
      <w:pPr>
        <w:pStyle w:val="CommentText"/>
        <w:numPr>
          <w:ilvl w:val="0"/>
          <w:numId w:val="22"/>
        </w:numPr>
      </w:pPr>
      <w:r>
        <w:rPr>
          <w:color w:val="001C2F"/>
          <w:highlight w:val="white"/>
        </w:rPr>
        <w:t>Iraq</w:t>
      </w:r>
    </w:p>
    <w:p w14:paraId="411936FB" w14:textId="77777777" w:rsidR="004D0BB1" w:rsidRDefault="004D0BB1" w:rsidP="004D0BB1">
      <w:pPr>
        <w:pStyle w:val="CommentText"/>
        <w:numPr>
          <w:ilvl w:val="0"/>
          <w:numId w:val="22"/>
        </w:numPr>
      </w:pPr>
      <w:r>
        <w:rPr>
          <w:color w:val="001C2F"/>
          <w:highlight w:val="white"/>
        </w:rPr>
        <w:t xml:space="preserve">Jordan </w:t>
      </w:r>
    </w:p>
    <w:p w14:paraId="7F5F11A6" w14:textId="77777777" w:rsidR="004D0BB1" w:rsidRDefault="004D0BB1" w:rsidP="004D0BB1">
      <w:pPr>
        <w:pStyle w:val="CommentText"/>
        <w:numPr>
          <w:ilvl w:val="0"/>
          <w:numId w:val="22"/>
        </w:numPr>
      </w:pPr>
      <w:r>
        <w:rPr>
          <w:color w:val="001C2F"/>
          <w:highlight w:val="white"/>
        </w:rPr>
        <w:t>Kuwait</w:t>
      </w:r>
    </w:p>
    <w:p w14:paraId="7D34FEAB" w14:textId="77777777" w:rsidR="004D0BB1" w:rsidRDefault="004D0BB1" w:rsidP="004D0BB1">
      <w:pPr>
        <w:pStyle w:val="CommentText"/>
        <w:numPr>
          <w:ilvl w:val="0"/>
          <w:numId w:val="22"/>
        </w:numPr>
      </w:pPr>
      <w:r>
        <w:rPr>
          <w:color w:val="001C2F"/>
          <w:highlight w:val="white"/>
        </w:rPr>
        <w:t xml:space="preserve">Lebanon </w:t>
      </w:r>
    </w:p>
    <w:p w14:paraId="751ADF94" w14:textId="77777777" w:rsidR="004D0BB1" w:rsidRDefault="004D0BB1" w:rsidP="004D0BB1">
      <w:pPr>
        <w:pStyle w:val="CommentText"/>
        <w:numPr>
          <w:ilvl w:val="0"/>
          <w:numId w:val="22"/>
        </w:numPr>
      </w:pPr>
      <w:r>
        <w:rPr>
          <w:color w:val="001C2F"/>
          <w:highlight w:val="white"/>
        </w:rPr>
        <w:t>Oman</w:t>
      </w:r>
    </w:p>
    <w:p w14:paraId="23001B8A" w14:textId="77777777" w:rsidR="004D0BB1" w:rsidRDefault="004D0BB1" w:rsidP="004D0BB1">
      <w:pPr>
        <w:pStyle w:val="CommentText"/>
        <w:numPr>
          <w:ilvl w:val="0"/>
          <w:numId w:val="22"/>
        </w:numPr>
      </w:pPr>
      <w:r>
        <w:rPr>
          <w:color w:val="001C2F"/>
          <w:highlight w:val="white"/>
        </w:rPr>
        <w:t>Qatar</w:t>
      </w:r>
    </w:p>
    <w:p w14:paraId="562D50D4" w14:textId="77777777" w:rsidR="004D0BB1" w:rsidRDefault="004D0BB1" w:rsidP="004D0BB1">
      <w:pPr>
        <w:pStyle w:val="CommentText"/>
        <w:numPr>
          <w:ilvl w:val="0"/>
          <w:numId w:val="22"/>
        </w:numPr>
      </w:pPr>
      <w:r>
        <w:rPr>
          <w:color w:val="001C2F"/>
          <w:highlight w:val="white"/>
        </w:rPr>
        <w:t>Saudi Arabia</w:t>
      </w:r>
    </w:p>
    <w:p w14:paraId="2382AABC" w14:textId="77777777" w:rsidR="004D0BB1" w:rsidRDefault="004D0BB1" w:rsidP="004D0BB1">
      <w:pPr>
        <w:pStyle w:val="CommentText"/>
        <w:numPr>
          <w:ilvl w:val="0"/>
          <w:numId w:val="22"/>
        </w:numPr>
      </w:pPr>
      <w:r>
        <w:rPr>
          <w:color w:val="001C2F"/>
          <w:highlight w:val="white"/>
        </w:rPr>
        <w:t xml:space="preserve">Somalia </w:t>
      </w:r>
    </w:p>
    <w:p w14:paraId="66DCC057" w14:textId="77777777" w:rsidR="004D0BB1" w:rsidRDefault="004D0BB1" w:rsidP="004D0BB1">
      <w:pPr>
        <w:pStyle w:val="CommentText"/>
        <w:numPr>
          <w:ilvl w:val="0"/>
          <w:numId w:val="22"/>
        </w:numPr>
      </w:pPr>
      <w:r>
        <w:rPr>
          <w:color w:val="001C2F"/>
          <w:highlight w:val="white"/>
        </w:rPr>
        <w:t>Syria</w:t>
      </w:r>
    </w:p>
    <w:p w14:paraId="3DCBC5D6" w14:textId="77777777" w:rsidR="004D0BB1" w:rsidRDefault="004D0BB1" w:rsidP="004D0BB1">
      <w:pPr>
        <w:pStyle w:val="CommentText"/>
        <w:numPr>
          <w:ilvl w:val="0"/>
          <w:numId w:val="22"/>
        </w:numPr>
      </w:pPr>
      <w:r>
        <w:rPr>
          <w:color w:val="001C2F"/>
          <w:highlight w:val="white"/>
        </w:rPr>
        <w:t>United Arab Emirates</w:t>
      </w:r>
    </w:p>
    <w:p w14:paraId="4D7182BA" w14:textId="77777777" w:rsidR="004D0BB1" w:rsidRDefault="004D0BB1" w:rsidP="004D0BB1">
      <w:pPr>
        <w:pStyle w:val="CommentText"/>
        <w:numPr>
          <w:ilvl w:val="0"/>
          <w:numId w:val="22"/>
        </w:numPr>
      </w:pPr>
      <w:r>
        <w:rPr>
          <w:color w:val="001C2F"/>
          <w:highlight w:val="white"/>
        </w:rPr>
        <w:t>Uzbekistan</w:t>
      </w:r>
    </w:p>
    <w:p w14:paraId="16B0E733" w14:textId="77777777" w:rsidR="004D0BB1" w:rsidRDefault="004D0BB1" w:rsidP="004D0BB1">
      <w:pPr>
        <w:pStyle w:val="CommentText"/>
        <w:numPr>
          <w:ilvl w:val="0"/>
          <w:numId w:val="22"/>
        </w:numPr>
      </w:pPr>
      <w:r>
        <w:rPr>
          <w:color w:val="001C2F"/>
          <w:highlight w:val="white"/>
        </w:rPr>
        <w:t xml:space="preserve">Yemen </w:t>
      </w:r>
    </w:p>
    <w:p w14:paraId="1BA249E6" w14:textId="77777777" w:rsidR="004D0BB1" w:rsidRDefault="004D0BB1" w:rsidP="004D0BB1">
      <w:pPr>
        <w:pStyle w:val="CommentText"/>
        <w:numPr>
          <w:ilvl w:val="0"/>
          <w:numId w:val="22"/>
        </w:numPr>
      </w:pPr>
      <w:r>
        <w:rPr>
          <w:color w:val="001C2F"/>
          <w:highlight w:val="white"/>
        </w:rPr>
        <w:t>Waters of the:</w:t>
      </w:r>
    </w:p>
    <w:p w14:paraId="3BF9C323" w14:textId="77777777" w:rsidR="004D0BB1" w:rsidRDefault="004D0BB1" w:rsidP="004D0BB1">
      <w:pPr>
        <w:pStyle w:val="CommentText"/>
        <w:numPr>
          <w:ilvl w:val="1"/>
          <w:numId w:val="22"/>
        </w:numPr>
      </w:pPr>
      <w:r>
        <w:rPr>
          <w:color w:val="001C2F"/>
          <w:highlight w:val="white"/>
        </w:rPr>
        <w:t>Arabian Sea</w:t>
      </w:r>
    </w:p>
    <w:p w14:paraId="77BFF399" w14:textId="77777777" w:rsidR="004D0BB1" w:rsidRDefault="004D0BB1" w:rsidP="004D0BB1">
      <w:pPr>
        <w:pStyle w:val="CommentText"/>
        <w:numPr>
          <w:ilvl w:val="1"/>
          <w:numId w:val="22"/>
        </w:numPr>
      </w:pPr>
      <w:r>
        <w:rPr>
          <w:color w:val="001C2F"/>
          <w:highlight w:val="white"/>
        </w:rPr>
        <w:t>Persian Gulf</w:t>
      </w:r>
    </w:p>
    <w:p w14:paraId="44C797FB" w14:textId="77777777" w:rsidR="004D0BB1" w:rsidRDefault="004D0BB1" w:rsidP="004D0BB1">
      <w:pPr>
        <w:pStyle w:val="CommentText"/>
        <w:numPr>
          <w:ilvl w:val="1"/>
          <w:numId w:val="22"/>
        </w:numPr>
      </w:pPr>
      <w:r>
        <w:rPr>
          <w:color w:val="001C2F"/>
          <w:highlight w:val="white"/>
        </w:rPr>
        <w:t>Red Sea</w:t>
      </w:r>
    </w:p>
  </w:comment>
  <w:comment w:id="27" w:author="Author" w:initials="A">
    <w:p w14:paraId="25E06178" w14:textId="532FCF76" w:rsidR="00915A9B" w:rsidRDefault="00915A9B" w:rsidP="00915A9B">
      <w:pPr>
        <w:pStyle w:val="CommentText"/>
      </w:pPr>
      <w:r>
        <w:rPr>
          <w:rStyle w:val="CommentReference"/>
        </w:rPr>
        <w:annotationRef/>
      </w:r>
      <w:r>
        <w:t>If this section is deleted, remove the references from the References section.</w:t>
      </w:r>
    </w:p>
  </w:comment>
  <w:comment w:id="28" w:author="Author" w:initials="A">
    <w:p w14:paraId="54FDEC9C" w14:textId="054EE4E3" w:rsidR="00D204D3" w:rsidRDefault="00D204D3" w:rsidP="00F704C7">
      <w:pPr>
        <w:pStyle w:val="CommentText"/>
        <w:numPr>
          <w:ilvl w:val="0"/>
          <w:numId w:val="11"/>
        </w:numPr>
      </w:pPr>
      <w:r>
        <w:rPr>
          <w:rStyle w:val="CommentReference"/>
        </w:rPr>
        <w:annotationRef/>
      </w:r>
      <w:r>
        <w:t xml:space="preserve"> </w:t>
      </w:r>
      <w:r>
        <w:rPr>
          <w:b/>
          <w:bCs/>
        </w:rPr>
        <w:t>No data</w:t>
      </w:r>
      <w:r>
        <w:t xml:space="preserve"> (i.e., no samples collected)</w:t>
      </w:r>
    </w:p>
    <w:p w14:paraId="2C6AEDBF" w14:textId="77777777" w:rsidR="00D204D3" w:rsidRDefault="00D204D3">
      <w:pPr>
        <w:pStyle w:val="CommentText"/>
      </w:pPr>
      <w:r>
        <w:t xml:space="preserve">      - delete entire PM10 </w:t>
      </w:r>
    </w:p>
    <w:p w14:paraId="1D2F8065" w14:textId="77777777" w:rsidR="00D204D3" w:rsidRDefault="00D204D3">
      <w:pPr>
        <w:pStyle w:val="CommentText"/>
      </w:pPr>
      <w:r>
        <w:t xml:space="preserve">2. </w:t>
      </w:r>
      <w:r>
        <w:rPr>
          <w:b/>
          <w:bCs/>
        </w:rPr>
        <w:t>Insufficient data</w:t>
      </w:r>
      <w:r>
        <w:t xml:space="preserve"> (i.e., not enough data to evaluate)</w:t>
      </w:r>
    </w:p>
    <w:p w14:paraId="425D6B86" w14:textId="77777777" w:rsidR="00D204D3" w:rsidRDefault="00D204D3">
      <w:pPr>
        <w:pStyle w:val="CommentText"/>
      </w:pPr>
      <w:r>
        <w:t xml:space="preserve">      - delete Exposure Guidelines section </w:t>
      </w:r>
    </w:p>
    <w:p w14:paraId="14F2BC70" w14:textId="77777777" w:rsidR="00D204D3" w:rsidRDefault="00D204D3">
      <w:pPr>
        <w:pStyle w:val="CommentText"/>
      </w:pPr>
      <w:r>
        <w:t xml:space="preserve">  - insert “There is insufficient data to assess the health   risks from exposure to PM10” in Short-term health risks section.</w:t>
      </w:r>
    </w:p>
    <w:p w14:paraId="3F33D67A" w14:textId="77777777" w:rsidR="00D204D3" w:rsidRDefault="00D204D3">
      <w:pPr>
        <w:pStyle w:val="CommentText"/>
      </w:pPr>
      <w:r>
        <w:t xml:space="preserve">3. </w:t>
      </w:r>
      <w:r>
        <w:rPr>
          <w:b/>
          <w:bCs/>
        </w:rPr>
        <w:t xml:space="preserve">Data available </w:t>
      </w:r>
      <w:r>
        <w:t>to evaluate health risk</w:t>
      </w:r>
    </w:p>
    <w:p w14:paraId="465EDD97" w14:textId="77777777" w:rsidR="00D204D3" w:rsidRDefault="00D204D3" w:rsidP="00F704C7">
      <w:pPr>
        <w:pStyle w:val="CommentText"/>
        <w:numPr>
          <w:ilvl w:val="0"/>
          <w:numId w:val="12"/>
        </w:numPr>
        <w:ind w:left="180"/>
      </w:pPr>
      <w:r>
        <w:rPr>
          <w:b/>
          <w:bCs/>
        </w:rPr>
        <w:t xml:space="preserve"> </w:t>
      </w:r>
      <w:r>
        <w:t xml:space="preserve">keep all Sections (see example) </w:t>
      </w:r>
    </w:p>
  </w:comment>
  <w:comment w:id="29" w:author="Author" w:initials="A">
    <w:p w14:paraId="1CCDEFC9" w14:textId="77777777" w:rsidR="00C87710" w:rsidRDefault="00C87710">
      <w:pPr>
        <w:pStyle w:val="CommentText"/>
      </w:pPr>
      <w:r>
        <w:rPr>
          <w:rStyle w:val="CommentReference"/>
        </w:rPr>
        <w:annotationRef/>
      </w:r>
      <w:r>
        <w:t xml:space="preserve">Refer to Table 3-6 and provide justification. </w:t>
      </w:r>
    </w:p>
    <w:p w14:paraId="2374A100" w14:textId="77777777" w:rsidR="00C87710" w:rsidRDefault="00C87710">
      <w:pPr>
        <w:pStyle w:val="CommentText"/>
      </w:pPr>
      <w:r>
        <w:t xml:space="preserve">Examples: </w:t>
      </w:r>
    </w:p>
    <w:p w14:paraId="01431C9F" w14:textId="77777777" w:rsidR="00C87710" w:rsidRDefault="00C87710" w:rsidP="00F704C7">
      <w:pPr>
        <w:pStyle w:val="CommentText"/>
        <w:numPr>
          <w:ilvl w:val="0"/>
          <w:numId w:val="13"/>
        </w:numPr>
      </w:pPr>
      <w:r>
        <w:t xml:space="preserve"> limited samples were collected (the samples collected are not representative of the timeframe being evaluated). </w:t>
      </w:r>
    </w:p>
  </w:comment>
  <w:comment w:id="30" w:author="Author" w:initials="A">
    <w:p w14:paraId="7B88272B" w14:textId="77777777" w:rsidR="00C87710" w:rsidRDefault="00C87710">
      <w:pPr>
        <w:pStyle w:val="CommentText"/>
      </w:pPr>
      <w:r>
        <w:rPr>
          <w:rStyle w:val="CommentReference"/>
        </w:rPr>
        <w:annotationRef/>
      </w:r>
      <w:r>
        <w:t xml:space="preserve">1. </w:t>
      </w:r>
      <w:r>
        <w:rPr>
          <w:b/>
          <w:bCs/>
        </w:rPr>
        <w:t>Insufficient data</w:t>
      </w:r>
      <w:r>
        <w:t xml:space="preserve"> (i.e., not enough data to evaluate)</w:t>
      </w:r>
    </w:p>
    <w:p w14:paraId="31539602" w14:textId="77777777" w:rsidR="00C87710" w:rsidRDefault="00C87710">
      <w:pPr>
        <w:pStyle w:val="CommentText"/>
      </w:pPr>
      <w:r>
        <w:t xml:space="preserve">  - delete Exposure Guidelines section</w:t>
      </w:r>
    </w:p>
    <w:p w14:paraId="6EAE8817" w14:textId="77777777" w:rsidR="00C87710" w:rsidRDefault="00C87710">
      <w:pPr>
        <w:pStyle w:val="CommentText"/>
      </w:pPr>
      <w:r>
        <w:t xml:space="preserve">  - insert “There is insufficient data to assess the health risks from exposure to PM2.5” in Short- and/or Long-term health risk sections. When both Sections have insufficient data combine them (e.g., Short-term and Long-term health risks).</w:t>
      </w:r>
    </w:p>
    <w:p w14:paraId="38A7D17E" w14:textId="77777777" w:rsidR="00C87710" w:rsidRDefault="00C87710">
      <w:pPr>
        <w:pStyle w:val="CommentText"/>
      </w:pPr>
    </w:p>
    <w:p w14:paraId="191CA16C" w14:textId="77777777" w:rsidR="00C87710" w:rsidRDefault="00C87710">
      <w:pPr>
        <w:pStyle w:val="CommentText"/>
      </w:pPr>
      <w:r>
        <w:t xml:space="preserve">2. </w:t>
      </w:r>
      <w:r>
        <w:rPr>
          <w:b/>
          <w:bCs/>
        </w:rPr>
        <w:t>Data available</w:t>
      </w:r>
      <w:r>
        <w:t xml:space="preserve"> to evaluate health risk</w:t>
      </w:r>
    </w:p>
    <w:p w14:paraId="27B7FE1A" w14:textId="77777777" w:rsidR="00C87710" w:rsidRDefault="00C87710" w:rsidP="00F704C7">
      <w:pPr>
        <w:pStyle w:val="CommentText"/>
        <w:numPr>
          <w:ilvl w:val="0"/>
          <w:numId w:val="14"/>
        </w:numPr>
        <w:ind w:left="180"/>
      </w:pPr>
      <w:r>
        <w:rPr>
          <w:b/>
          <w:bCs/>
        </w:rPr>
        <w:t xml:space="preserve"> </w:t>
      </w:r>
      <w:r>
        <w:t xml:space="preserve">keep all Sections </w:t>
      </w:r>
    </w:p>
  </w:comment>
  <w:comment w:id="31" w:author="Author" w:initials="A">
    <w:p w14:paraId="6EF10643" w14:textId="398C23A4" w:rsidR="008B7861" w:rsidRDefault="008B7861" w:rsidP="0051520C">
      <w:pPr>
        <w:pStyle w:val="CommentText"/>
      </w:pPr>
      <w:r>
        <w:rPr>
          <w:rStyle w:val="CommentReference"/>
        </w:rPr>
        <w:annotationRef/>
      </w:r>
      <w:r>
        <w:t xml:space="preserve">Specify that these are DPS samples if have NASA data. </w:t>
      </w:r>
    </w:p>
  </w:comment>
  <w:comment w:id="33" w:author="Author" w:initials="A">
    <w:p w14:paraId="2424BB23" w14:textId="77777777" w:rsidR="00EF757F" w:rsidRDefault="00EF757F" w:rsidP="00C86834">
      <w:pPr>
        <w:pStyle w:val="CommentText"/>
      </w:pPr>
      <w:r>
        <w:rPr>
          <w:rStyle w:val="CommentReference"/>
        </w:rPr>
        <w:annotationRef/>
      </w:r>
      <w:r>
        <w:t>If NASA data exists include a similar paragraph since they are evaluated separately in this context.</w:t>
      </w:r>
    </w:p>
  </w:comment>
  <w:comment w:id="36" w:author="Author" w:initials="A">
    <w:p w14:paraId="34B74018" w14:textId="77777777" w:rsidR="00F65024" w:rsidRPr="00796E51" w:rsidRDefault="00F65024" w:rsidP="0051520C">
      <w:pPr>
        <w:pStyle w:val="CommentText"/>
        <w:rPr>
          <w:sz w:val="22"/>
          <w:szCs w:val="22"/>
        </w:rPr>
      </w:pPr>
      <w:r>
        <w:rPr>
          <w:rStyle w:val="CommentReference"/>
        </w:rPr>
        <w:annotationRef/>
      </w:r>
      <w:r w:rsidRPr="00946E99">
        <w:t>If</w:t>
      </w:r>
      <w:r>
        <w:rPr>
          <w:b/>
        </w:rPr>
        <w:t xml:space="preserve"> </w:t>
      </w:r>
      <w:r w:rsidRPr="006449A6">
        <w:rPr>
          <w:b/>
        </w:rPr>
        <w:t>Insuffic</w:t>
      </w:r>
      <w:r>
        <w:rPr>
          <w:b/>
        </w:rPr>
        <w:t>i</w:t>
      </w:r>
      <w:r w:rsidRPr="006449A6">
        <w:rPr>
          <w:b/>
        </w:rPr>
        <w:t>ent data</w:t>
      </w:r>
      <w:r>
        <w:t xml:space="preserve"> (i.e., not enough data to evaluate)</w:t>
      </w:r>
    </w:p>
    <w:p w14:paraId="7522A4FE" w14:textId="6068AE23" w:rsidR="00F65024" w:rsidRDefault="00F65024" w:rsidP="0051520C">
      <w:pPr>
        <w:pStyle w:val="CommentText"/>
      </w:pPr>
      <w:r>
        <w:t xml:space="preserve">- </w:t>
      </w:r>
      <w:r w:rsidRPr="00BD5CAD">
        <w:t xml:space="preserve">delete </w:t>
      </w:r>
      <w:r w:rsidR="00F62F2B">
        <w:t>Exposure Guidelines section</w:t>
      </w:r>
      <w:r w:rsidRPr="00BD5CAD">
        <w:t xml:space="preserve"> </w:t>
      </w:r>
    </w:p>
    <w:p w14:paraId="4D20A107" w14:textId="77777777" w:rsidR="00F65024" w:rsidRDefault="00F65024" w:rsidP="0051520C">
      <w:pPr>
        <w:pStyle w:val="CommentText"/>
      </w:pPr>
      <w:r>
        <w:t>- insert “</w:t>
      </w:r>
      <w:r w:rsidRPr="00B3012D">
        <w:t xml:space="preserve">There is insufficient data to assess the health risks from exposure to </w:t>
      </w:r>
      <w:r>
        <w:t xml:space="preserve">airborne metals” in Short-term and Long-term health risks sections </w:t>
      </w:r>
    </w:p>
  </w:comment>
  <w:comment w:id="37" w:author="Author" w:initials="A">
    <w:p w14:paraId="791A8B62" w14:textId="77777777" w:rsidR="008B7861" w:rsidRPr="00796E51" w:rsidRDefault="008B7861" w:rsidP="0051520C">
      <w:pPr>
        <w:pStyle w:val="CommentText"/>
        <w:rPr>
          <w:sz w:val="22"/>
          <w:szCs w:val="22"/>
        </w:rPr>
      </w:pPr>
      <w:r>
        <w:rPr>
          <w:rStyle w:val="CommentReference"/>
        </w:rPr>
        <w:annotationRef/>
      </w:r>
      <w:r w:rsidRPr="00946E99">
        <w:t>If</w:t>
      </w:r>
      <w:r>
        <w:rPr>
          <w:b/>
        </w:rPr>
        <w:t xml:space="preserve"> </w:t>
      </w:r>
      <w:r w:rsidRPr="006449A6">
        <w:rPr>
          <w:b/>
        </w:rPr>
        <w:t>Insuffic</w:t>
      </w:r>
      <w:r>
        <w:rPr>
          <w:b/>
        </w:rPr>
        <w:t>i</w:t>
      </w:r>
      <w:r w:rsidRPr="006449A6">
        <w:rPr>
          <w:b/>
        </w:rPr>
        <w:t>ent data</w:t>
      </w:r>
      <w:r>
        <w:t xml:space="preserve"> (i.e., not enough data to evaluate)</w:t>
      </w:r>
    </w:p>
    <w:p w14:paraId="0A622F08" w14:textId="6877C427" w:rsidR="008B7861" w:rsidRDefault="008B7861" w:rsidP="0051520C">
      <w:pPr>
        <w:pStyle w:val="CommentText"/>
      </w:pPr>
      <w:r>
        <w:t xml:space="preserve">  - </w:t>
      </w:r>
      <w:r w:rsidRPr="00BD5CAD">
        <w:t xml:space="preserve">delete </w:t>
      </w:r>
      <w:r w:rsidR="00F62F2B">
        <w:t xml:space="preserve">Exposure Guidelines section </w:t>
      </w:r>
    </w:p>
    <w:p w14:paraId="55ACF6DD" w14:textId="5D536B3B" w:rsidR="00D34851" w:rsidRPr="00666C43" w:rsidRDefault="00D34851" w:rsidP="0051520C">
      <w:pPr>
        <w:pStyle w:val="CommentText"/>
      </w:pPr>
      <w:r>
        <w:t>- provide summary of the data that are insufficient (e.g., 2 samples were collected over 5 years and do not represent air quality over the time period of this POEMS).</w:t>
      </w:r>
    </w:p>
    <w:p w14:paraId="4EB69168" w14:textId="24E1D526" w:rsidR="008B7861" w:rsidRDefault="008B7861" w:rsidP="0051520C">
      <w:pPr>
        <w:pStyle w:val="CommentText"/>
      </w:pPr>
      <w:r>
        <w:t xml:space="preserve">  - insert “</w:t>
      </w:r>
      <w:r w:rsidRPr="00B3012D">
        <w:t xml:space="preserve">There is insufficient data to assess the health </w:t>
      </w:r>
      <w:r>
        <w:t xml:space="preserve">  </w:t>
      </w:r>
      <w:r w:rsidRPr="00B3012D">
        <w:t xml:space="preserve">risks from exposure to </w:t>
      </w:r>
      <w:r>
        <w:t>airborne VOCs” in Short-term and Long-term health risks sections (or combine into one section if it applies)</w:t>
      </w:r>
    </w:p>
  </w:comment>
  <w:comment w:id="38" w:author="Author" w:initials="A">
    <w:p w14:paraId="09068E44" w14:textId="77777777" w:rsidR="008B7861" w:rsidRDefault="008B7861" w:rsidP="0051520C">
      <w:pPr>
        <w:pStyle w:val="CommentText"/>
      </w:pPr>
      <w:r>
        <w:rPr>
          <w:rStyle w:val="CommentReference"/>
        </w:rPr>
        <w:annotationRef/>
      </w:r>
      <w:r>
        <w:t>Note that units are parts per billion (ppb)</w:t>
      </w:r>
    </w:p>
  </w:comment>
  <w:comment w:id="39" w:author="Author" w:initials="A">
    <w:p w14:paraId="115B2E7D" w14:textId="59A0E4EA" w:rsidR="007B6784" w:rsidRDefault="007B6784">
      <w:pPr>
        <w:pStyle w:val="CommentText"/>
      </w:pPr>
      <w:r>
        <w:rPr>
          <w:rStyle w:val="CommentReference"/>
        </w:rPr>
        <w:annotationRef/>
      </w:r>
      <w:r>
        <w:t>Indicate where/why samples were collected in support of the exposure info provided in 3.1. For example, if 3.1 lists the motor pool as a location of potential concern, then here in 3.2 would be where you note that 4 composite samples were collected in the motor pool area to assess that EP scenario.</w:t>
      </w:r>
    </w:p>
  </w:comment>
  <w:comment w:id="42" w:author="Author" w:initials="A">
    <w:p w14:paraId="58BCCD82" w14:textId="77777777" w:rsidR="006A4785" w:rsidRDefault="00346524" w:rsidP="00DF36E2">
      <w:pPr>
        <w:pStyle w:val="CommentText"/>
      </w:pPr>
      <w:r>
        <w:rPr>
          <w:rStyle w:val="CommentReference"/>
        </w:rPr>
        <w:annotationRef/>
      </w:r>
      <w:r w:rsidR="006A4785">
        <w:t>Add Footnote for trademarked water bottle brand. Go to "References" tab, "Insert footnote".</w:t>
      </w:r>
    </w:p>
  </w:comment>
  <w:comment w:id="43" w:author="Author" w:initials="A">
    <w:p w14:paraId="18E10457" w14:textId="03524194" w:rsidR="00D57188" w:rsidRDefault="00D57188" w:rsidP="005A1E5D">
      <w:pPr>
        <w:pStyle w:val="CommentText"/>
      </w:pPr>
      <w:r>
        <w:rPr>
          <w:rStyle w:val="CommentReference"/>
        </w:rPr>
        <w:annotationRef/>
      </w:r>
      <w:r>
        <w:t>Include site-specific water source information including all treatment processes (ROWPU, TWPS, etc.) for non-drinking water. Specify the non-drinking uses of each water supply. Be clear if the water is chlorinated (they add chlorine) or actually known to be disinfected (post-chlorine, water tested negative for coliforms/e. coli).</w:t>
      </w:r>
    </w:p>
  </w:comment>
  <w:comment w:id="44" w:author="Author" w:initials="A">
    <w:p w14:paraId="42C5C80A" w14:textId="15FB6FE2" w:rsidR="003372F4" w:rsidRDefault="003372F4" w:rsidP="003372F4">
      <w:pPr>
        <w:pStyle w:val="CommentText"/>
      </w:pPr>
      <w:r>
        <w:rPr>
          <w:rStyle w:val="CommentReference"/>
        </w:rPr>
        <w:annotationRef/>
      </w:r>
      <w:r w:rsidRPr="003372F4">
        <w:t>Add a statement</w:t>
      </w:r>
      <w:r w:rsidRPr="003372F4">
        <w:rPr>
          <w:rStyle w:val="CommentReference"/>
        </w:rPr>
        <w:annotationRef/>
      </w:r>
      <w:r w:rsidRPr="003372F4">
        <w:t xml:space="preserve"> for water that doesn’t meet LTP standards but is being used for Class 1 uses anyway (showers, personal hygiene, etc.)</w:t>
      </w:r>
    </w:p>
    <w:p w14:paraId="38980A8A" w14:textId="77777777" w:rsidR="003372F4" w:rsidRDefault="003372F4" w:rsidP="003372F4">
      <w:pPr>
        <w:pStyle w:val="CommentText"/>
      </w:pPr>
    </w:p>
    <w:p w14:paraId="3BD920FB" w14:textId="77777777" w:rsidR="003372F4" w:rsidRDefault="003372F4" w:rsidP="003372F4">
      <w:pPr>
        <w:pStyle w:val="CommentText"/>
      </w:pPr>
      <w:r>
        <w:t>Example to consider when the water doesn’t meet LTP standards (customize to the scenario for your POEMS):</w:t>
      </w:r>
    </w:p>
    <w:p w14:paraId="13D316A7" w14:textId="77777777" w:rsidR="003372F4" w:rsidRDefault="003372F4" w:rsidP="003372F4">
      <w:pPr>
        <w:pStyle w:val="CommentText"/>
      </w:pPr>
    </w:p>
    <w:p w14:paraId="2418B380" w14:textId="77777777" w:rsidR="003372F4" w:rsidRDefault="003372F4" w:rsidP="003372F4">
      <w:pPr>
        <w:pStyle w:val="CommentText"/>
      </w:pPr>
      <w:r w:rsidRPr="0024590C">
        <w:t>However,</w:t>
      </w:r>
      <w:r>
        <w:t xml:space="preserve"> the water did not meet the long-term potability (LTP) standards for ‘Class I’ usage, which includes showers and personal hygiene.</w:t>
      </w:r>
    </w:p>
    <w:p w14:paraId="62AAFD21" w14:textId="77777777" w:rsidR="003372F4" w:rsidRDefault="003372F4" w:rsidP="003372F4">
      <w:pPr>
        <w:pStyle w:val="CommentText"/>
      </w:pPr>
    </w:p>
    <w:p w14:paraId="54283253" w14:textId="54BDCDB4" w:rsidR="003372F4" w:rsidRDefault="003372F4" w:rsidP="003372F4">
      <w:pPr>
        <w:pStyle w:val="CommentText"/>
      </w:pPr>
      <w:r>
        <w:t>Water of lower quality can be authorized for use by the local medical authority based on the overall risk profile at a deployed location. -OR- if known, indicate that the medical authority did authorize use of this water.</w:t>
      </w:r>
    </w:p>
  </w:comment>
  <w:comment w:id="45" w:author="Author" w:initials="A">
    <w:p w14:paraId="11334734" w14:textId="77777777" w:rsidR="0064290A" w:rsidRDefault="0064290A" w:rsidP="00AF5488">
      <w:pPr>
        <w:pStyle w:val="CommentText"/>
      </w:pPr>
      <w:r>
        <w:rPr>
          <w:rStyle w:val="CommentReference"/>
        </w:rPr>
        <w:annotationRef/>
      </w:r>
      <w:r>
        <w:t>Please check the OEHSA(s) and BCA(s) for source info including laser, microwave, radiofrequency (RF), ultra high frequency (UHF)/very high frequency (VHF), etc items. It may be generic (e.g., commo equipment) or may specify the device/system. When hazard sources are documented, particularly in a BCA, there should be information about controls. These NIR sources usually have engineering controls and users have protocols to specify the administrative controls. Typically you should be able to at least state that engineering and administrative controls were in place to minimize the likelihood of exposure. For most if not all NIR sources, the primary health threat is thermal injury to the eyes or exposed skin.</w:t>
      </w:r>
    </w:p>
  </w:comment>
  <w:comment w:id="46" w:author="Author" w:initials="A">
    <w:p w14:paraId="6479061B" w14:textId="77777777" w:rsidR="00093FD0" w:rsidRDefault="0064290A" w:rsidP="004C0ADA">
      <w:pPr>
        <w:pStyle w:val="CommentText"/>
      </w:pPr>
      <w:r>
        <w:rPr>
          <w:rStyle w:val="CommentReference"/>
        </w:rPr>
        <w:annotationRef/>
      </w:r>
      <w:r w:rsidR="00093FD0">
        <w:t xml:space="preserve">Ensure that the appropriate COCOM is noted and referenced. For example, have a CENTCOM or AFRICOM specific Endemic Diseases section. </w:t>
      </w:r>
    </w:p>
  </w:comment>
  <w:comment w:id="47" w:author="Author" w:initials="A">
    <w:p w14:paraId="2DADDB0B" w14:textId="77777777" w:rsidR="00024F1F" w:rsidRDefault="008B7861" w:rsidP="009167C8">
      <w:pPr>
        <w:pStyle w:val="CommentText"/>
      </w:pPr>
      <w:r>
        <w:rPr>
          <w:rStyle w:val="CommentReference"/>
        </w:rPr>
        <w:annotationRef/>
      </w:r>
      <w:r w:rsidR="00024F1F">
        <w:t>For AFRICOM use: USAFRICOM Force Health Protection Requirements and Medical Guidance for Entry into the U.S. Africa Command Theater References. *</w:t>
      </w:r>
      <w:r w:rsidR="00024F1F">
        <w:rPr>
          <w:b/>
          <w:bCs/>
        </w:rPr>
        <w:t>Make sure assessment dates match up with reference dates</w:t>
      </w:r>
    </w:p>
  </w:comment>
  <w:comment w:id="48" w:author="Author" w:initials="A">
    <w:p w14:paraId="667BBE4C" w14:textId="369971ED" w:rsidR="008B7861" w:rsidRDefault="008B7861" w:rsidP="0051520C">
      <w:pPr>
        <w:pStyle w:val="CommentText"/>
      </w:pPr>
      <w:r>
        <w:rPr>
          <w:rStyle w:val="CommentReference"/>
        </w:rPr>
        <w:annotationRef/>
      </w:r>
      <w:r>
        <w:t xml:space="preserve">Some OEHSAs state where risk estimates were obtained, so provide that information if available. </w:t>
      </w:r>
    </w:p>
  </w:comment>
  <w:comment w:id="56" w:author="Author" w:initials="A">
    <w:p w14:paraId="692BC6E1" w14:textId="4688E3CE" w:rsidR="00CC4F49" w:rsidRDefault="00CC4F49">
      <w:pPr>
        <w:pStyle w:val="CommentText"/>
      </w:pPr>
      <w:r>
        <w:rPr>
          <w:rStyle w:val="CommentReference"/>
        </w:rPr>
        <w:annotationRef/>
      </w:r>
      <w:r>
        <w:t>Suggest keeping the strain(s) that may apply to your location and deleting the rest.</w:t>
      </w:r>
      <w:r w:rsidR="00D5717F">
        <w:t xml:space="preserve"> Look at different strains and where they are found</w:t>
      </w:r>
    </w:p>
  </w:comment>
  <w:comment w:id="57" w:author="Author" w:initials="A">
    <w:p w14:paraId="71470CDC" w14:textId="57E12AD5" w:rsidR="007105F2" w:rsidRDefault="007105F2">
      <w:pPr>
        <w:pStyle w:val="CommentText"/>
      </w:pPr>
      <w:r>
        <w:rPr>
          <w:rStyle w:val="CommentReference"/>
        </w:rPr>
        <w:annotationRef/>
      </w:r>
      <w:r>
        <w:t xml:space="preserve">Ensure the content here is appropriate for your POEMS location(s). </w:t>
      </w:r>
    </w:p>
  </w:comment>
  <w:comment w:id="75" w:author="Author" w:initials="A">
    <w:p w14:paraId="75BFD9D2" w14:textId="77777777" w:rsidR="00B0088F" w:rsidRDefault="00822536">
      <w:pPr>
        <w:pStyle w:val="CommentText"/>
      </w:pPr>
      <w:r>
        <w:rPr>
          <w:rStyle w:val="CommentReference"/>
        </w:rPr>
        <w:annotationRef/>
      </w:r>
      <w:r w:rsidR="00B0088F">
        <w:t xml:space="preserve">For spiders and scorpions, and snakes search by Country and click on specific species. </w:t>
      </w:r>
    </w:p>
    <w:p w14:paraId="5C1454FC" w14:textId="77777777" w:rsidR="00B0088F" w:rsidRDefault="00B0088F">
      <w:pPr>
        <w:pStyle w:val="CommentText"/>
      </w:pPr>
      <w:r>
        <w:t xml:space="preserve">Don’t include in POEMS if: </w:t>
      </w:r>
    </w:p>
    <w:p w14:paraId="130D1F97" w14:textId="77777777" w:rsidR="00B0088F" w:rsidRDefault="00B0088F">
      <w:pPr>
        <w:pStyle w:val="CommentText"/>
        <w:numPr>
          <w:ilvl w:val="0"/>
          <w:numId w:val="18"/>
        </w:numPr>
      </w:pPr>
      <w:r>
        <w:t xml:space="preserve"> clinical effects don’t report envenoming. </w:t>
      </w:r>
    </w:p>
    <w:p w14:paraId="7981A7BD" w14:textId="77777777" w:rsidR="00B0088F" w:rsidRDefault="00B0088F">
      <w:pPr>
        <w:pStyle w:val="CommentText"/>
        <w:numPr>
          <w:ilvl w:val="0"/>
          <w:numId w:val="18"/>
        </w:numPr>
      </w:pPr>
      <w:r>
        <w:t xml:space="preserve"> species map doesn’t overlap base camp</w:t>
      </w:r>
    </w:p>
    <w:p w14:paraId="3279006F" w14:textId="77777777" w:rsidR="00B0088F" w:rsidRDefault="00B0088F" w:rsidP="00205D8A">
      <w:pPr>
        <w:pStyle w:val="CommentText"/>
        <w:numPr>
          <w:ilvl w:val="0"/>
          <w:numId w:val="18"/>
        </w:numPr>
      </w:pPr>
      <w:r>
        <w:t xml:space="preserve"> species is LOW on the Dangerousness Index (i.e., it doesn’t present a health risk) </w:t>
      </w:r>
    </w:p>
  </w:comment>
  <w:comment w:id="76" w:author="Author" w:initials="A">
    <w:p w14:paraId="2CACB4C7" w14:textId="50F5B5BE" w:rsidR="00BF5A33" w:rsidRDefault="00BF5A33" w:rsidP="00686719">
      <w:pPr>
        <w:pStyle w:val="CommentText"/>
      </w:pPr>
      <w:r>
        <w:rPr>
          <w:rStyle w:val="CommentReference"/>
        </w:rPr>
        <w:annotationRef/>
      </w:r>
      <w:r>
        <w:t xml:space="preserve">Specify where climatological data was obtained. Climates to Travel: world climate guide </w:t>
      </w:r>
      <w:hyperlink r:id="rId1" w:history="1">
        <w:r w:rsidRPr="00686719">
          <w:rPr>
            <w:rStyle w:val="Hyperlink"/>
          </w:rPr>
          <w:t>https://www.climatestotravel.com</w:t>
        </w:r>
      </w:hyperlink>
      <w:r>
        <w:t>, Weather Spark  (weatherspark.com), and 14th Weather Squadron (</w:t>
      </w:r>
      <w:hyperlink r:id="rId2" w:history="1">
        <w:r w:rsidRPr="00686719">
          <w:rPr>
            <w:rStyle w:val="Hyperlink"/>
          </w:rPr>
          <w:t>https://climate.af.mil/</w:t>
        </w:r>
      </w:hyperlink>
      <w:r>
        <w:t>) are useful sites.</w:t>
      </w:r>
    </w:p>
  </w:comment>
  <w:comment w:id="78" w:author="Author" w:initials="A">
    <w:p w14:paraId="6CD5B70B" w14:textId="77777777" w:rsidR="00A81EEC" w:rsidRDefault="008B7861">
      <w:pPr>
        <w:pStyle w:val="CommentText"/>
      </w:pPr>
      <w:r>
        <w:rPr>
          <w:rStyle w:val="CommentReference"/>
        </w:rPr>
        <w:annotationRef/>
      </w:r>
      <w:r w:rsidR="00A81EEC">
        <w:t xml:space="preserve">Provide Justification for Confidence in health risk estimate. </w:t>
      </w:r>
    </w:p>
    <w:p w14:paraId="5DDC19C7" w14:textId="77777777" w:rsidR="00A81EEC" w:rsidRDefault="00A81EEC">
      <w:pPr>
        <w:pStyle w:val="CommentText"/>
      </w:pPr>
      <w:r>
        <w:t>Examples:</w:t>
      </w:r>
    </w:p>
    <w:p w14:paraId="5FD5E000" w14:textId="77777777" w:rsidR="00A81EEC" w:rsidRDefault="00A81EEC">
      <w:pPr>
        <w:pStyle w:val="CommentText"/>
        <w:numPr>
          <w:ilvl w:val="0"/>
          <w:numId w:val="19"/>
        </w:numPr>
      </w:pPr>
      <w:r>
        <w:t xml:space="preserve"> Low based on meteorological data taken from closest location to base camp location. </w:t>
      </w:r>
    </w:p>
    <w:p w14:paraId="56176D91" w14:textId="77777777" w:rsidR="00A81EEC" w:rsidRDefault="00A81EEC" w:rsidP="00056F4D">
      <w:pPr>
        <w:pStyle w:val="CommentText"/>
        <w:numPr>
          <w:ilvl w:val="0"/>
          <w:numId w:val="19"/>
        </w:numPr>
      </w:pPr>
      <w:r>
        <w:t xml:space="preserve"> Medium based on data taken directly from base camp (base camps with airfields may have meteorological data)</w:t>
      </w:r>
    </w:p>
  </w:comment>
  <w:comment w:id="81" w:author="Author" w:initials="A">
    <w:p w14:paraId="37F5CB05" w14:textId="1FEFB586" w:rsidR="008B7861" w:rsidRDefault="008B7861" w:rsidP="0051520C">
      <w:pPr>
        <w:pStyle w:val="CommentText"/>
      </w:pPr>
      <w:r>
        <w:rPr>
          <w:rStyle w:val="CommentReference"/>
        </w:rPr>
        <w:annotationRef/>
      </w:r>
      <w:r>
        <w:t>Include site specific information. Example: a helicopter landing zone exists 50 meters from personnel at Camp XXX.</w:t>
      </w:r>
      <w:r w:rsidRPr="00C44C3C">
        <w:t xml:space="preserve"> </w:t>
      </w:r>
      <w:r>
        <w:t xml:space="preserve">Sometimes noise levels are reported in OEHSAs for this, generators close to personnel, etc. so include all </w:t>
      </w:r>
      <w:r w:rsidR="00F62F2B">
        <w:t>site-specific</w:t>
      </w:r>
      <w:r>
        <w:t xml:space="preserve"> information. * If no hazards are identified, use this standard language.</w:t>
      </w:r>
    </w:p>
  </w:comment>
  <w:comment w:id="83" w:author="Author" w:initials="A">
    <w:p w14:paraId="13E2D8C1" w14:textId="77777777" w:rsidR="00BF5A33" w:rsidRDefault="00BF5A33" w:rsidP="00482EBD">
      <w:pPr>
        <w:pStyle w:val="CommentText"/>
      </w:pPr>
      <w:r>
        <w:rPr>
          <w:rStyle w:val="CommentReference"/>
        </w:rPr>
        <w:annotationRef/>
      </w:r>
      <w:r>
        <w:t>Example text. Please customize to the location(s). When known, note the host nation use of pesticides that are banned in the US.</w:t>
      </w:r>
    </w:p>
  </w:comment>
  <w:comment w:id="85" w:author="Author" w:initials="A">
    <w:p w14:paraId="5D4A2E1F" w14:textId="77777777" w:rsidR="00694939" w:rsidRDefault="00694939">
      <w:pPr>
        <w:pStyle w:val="CommentText"/>
      </w:pPr>
      <w:r>
        <w:rPr>
          <w:rStyle w:val="CommentReference"/>
        </w:rPr>
        <w:annotationRef/>
      </w:r>
      <w:r>
        <w:t>Provide site-specific burn pit information to include:  burn pit location (on or off-camp), approximate distance to the deployed population, hours of operation (operated daily, weekly, etc.), prevailing wind, inversions, or other factors that affect the potential exposures to the smoke, who operated it, what was burned (US solid waste, other military’s waste, local community waste, and/or other items), size/number of burn pits, etc.</w:t>
      </w:r>
    </w:p>
    <w:p w14:paraId="01D84E6E" w14:textId="77777777" w:rsidR="00694939" w:rsidRDefault="00694939">
      <w:pPr>
        <w:pStyle w:val="CommentText"/>
      </w:pPr>
    </w:p>
    <w:p w14:paraId="58774820" w14:textId="77777777" w:rsidR="00694939" w:rsidRDefault="00694939" w:rsidP="00E40FDB">
      <w:pPr>
        <w:pStyle w:val="CommentText"/>
      </w:pPr>
      <w:r>
        <w:t xml:space="preserve">Example: One large (approx. ½ acre) burn pit was located on the host nation side of the camp, separated from the US side only by concertina wire. All US personnel were housed 500 – 1000 feet from the burn pit. The burn pit was used to dispose of US and HN solid waste and operated from sunrise to sunset daily.  </w:t>
      </w:r>
    </w:p>
  </w:comment>
  <w:comment w:id="86" w:author="Author" w:initials="A">
    <w:p w14:paraId="6174663B" w14:textId="77777777" w:rsidR="003B6209" w:rsidRDefault="003B6209" w:rsidP="003B6209">
      <w:pPr>
        <w:pStyle w:val="CommentText"/>
      </w:pPr>
      <w:r>
        <w:rPr>
          <w:rStyle w:val="CommentReference"/>
        </w:rPr>
        <w:annotationRef/>
      </w:r>
      <w:r>
        <w:t>Check references to make sure they are specific to your POEMS</w:t>
      </w:r>
    </w:p>
  </w:comment>
  <w:comment w:id="87" w:author="Author" w:initials="A">
    <w:p w14:paraId="0C192F6C" w14:textId="655833F3" w:rsidR="00D7193D" w:rsidRDefault="00D7193D" w:rsidP="00B413DC">
      <w:pPr>
        <w:pStyle w:val="CommentText"/>
      </w:pPr>
      <w:r>
        <w:rPr>
          <w:rStyle w:val="CommentReference"/>
        </w:rPr>
        <w:annotationRef/>
      </w:r>
      <w:r>
        <w:t>References 1 &amp; 2, Located above Purpose</w:t>
      </w:r>
    </w:p>
  </w:comment>
  <w:comment w:id="88" w:author="Author" w:initials="A">
    <w:p w14:paraId="09B1A5A1" w14:textId="3B147ECC" w:rsidR="00D7193D" w:rsidRDefault="00D7193D" w:rsidP="00D7193D">
      <w:pPr>
        <w:pStyle w:val="CommentText"/>
      </w:pPr>
      <w:r>
        <w:rPr>
          <w:rStyle w:val="CommentReference"/>
        </w:rPr>
        <w:annotationRef/>
      </w:r>
      <w:r>
        <w:t>Located in Site Description paragraph</w:t>
      </w:r>
    </w:p>
  </w:comment>
  <w:comment w:id="89" w:author="Author" w:initials="A">
    <w:p w14:paraId="7F2BD046" w14:textId="77777777" w:rsidR="00D7193D" w:rsidRDefault="00D7193D" w:rsidP="00D7193D">
      <w:pPr>
        <w:pStyle w:val="CommentText"/>
      </w:pPr>
      <w:r>
        <w:rPr>
          <w:rStyle w:val="CommentReference"/>
        </w:rPr>
        <w:annotationRef/>
      </w:r>
      <w:r>
        <w:t>Located in Site Description paragraph. Include site specific OEHSAs and Base Camp Assessments (if used)</w:t>
      </w:r>
    </w:p>
  </w:comment>
  <w:comment w:id="90" w:author="Author" w:initials="A">
    <w:p w14:paraId="4EE215E0" w14:textId="77777777" w:rsidR="00D7193D" w:rsidRDefault="00D7193D" w:rsidP="00D7193D">
      <w:pPr>
        <w:pStyle w:val="CommentText"/>
      </w:pPr>
      <w:r>
        <w:rPr>
          <w:rStyle w:val="CommentReference"/>
        </w:rPr>
        <w:annotationRef/>
      </w:r>
      <w:r>
        <w:t>Located under Summary (Figure 1 reference)</w:t>
      </w:r>
    </w:p>
  </w:comment>
  <w:comment w:id="91" w:author="Author" w:initials="A">
    <w:p w14:paraId="526E035F" w14:textId="77777777" w:rsidR="00D7193D" w:rsidRDefault="00D7193D" w:rsidP="00D7193D">
      <w:pPr>
        <w:pStyle w:val="CommentText"/>
      </w:pPr>
      <w:r>
        <w:rPr>
          <w:rStyle w:val="CommentReference"/>
        </w:rPr>
        <w:annotationRef/>
      </w:r>
      <w:r>
        <w:t>Located under Summary (2nd paragraph)</w:t>
      </w:r>
    </w:p>
  </w:comment>
  <w:comment w:id="92" w:author="Author" w:initials="A">
    <w:p w14:paraId="61843AE9" w14:textId="77777777" w:rsidR="00D7193D" w:rsidRDefault="00D7193D" w:rsidP="00D7193D">
      <w:pPr>
        <w:pStyle w:val="CommentText"/>
      </w:pPr>
      <w:r>
        <w:rPr>
          <w:rStyle w:val="CommentReference"/>
        </w:rPr>
        <w:annotationRef/>
      </w:r>
      <w:r>
        <w:t xml:space="preserve">Section 1 Health Risk Assessment </w:t>
      </w:r>
    </w:p>
  </w:comment>
  <w:comment w:id="93" w:author="Author" w:initials="A">
    <w:p w14:paraId="1C9E878E" w14:textId="77777777" w:rsidR="00543EEC" w:rsidRDefault="00112B8A" w:rsidP="00543EEC">
      <w:pPr>
        <w:pStyle w:val="CommentText"/>
      </w:pPr>
      <w:r>
        <w:rPr>
          <w:rStyle w:val="CommentReference"/>
        </w:rPr>
        <w:annotationRef/>
      </w:r>
      <w:r w:rsidR="00543EEC">
        <w:t>AHOBPR section 2.2</w:t>
      </w:r>
    </w:p>
  </w:comment>
  <w:comment w:id="94" w:author="Author" w:initials="A">
    <w:p w14:paraId="62A3D5E3" w14:textId="4E47F4EE" w:rsidR="00112B8A" w:rsidRDefault="00112B8A" w:rsidP="00112B8A">
      <w:pPr>
        <w:pStyle w:val="CommentText"/>
      </w:pPr>
      <w:r>
        <w:rPr>
          <w:rStyle w:val="CommentReference"/>
        </w:rPr>
        <w:annotationRef/>
      </w:r>
      <w:r>
        <w:t xml:space="preserve">AHOBPR section 2.2 </w:t>
      </w:r>
    </w:p>
  </w:comment>
  <w:comment w:id="95" w:author="Author" w:initials="A">
    <w:p w14:paraId="28D4EFF6" w14:textId="77777777" w:rsidR="00D7193D" w:rsidRDefault="00D7193D" w:rsidP="00D7193D">
      <w:pPr>
        <w:pStyle w:val="CommentText"/>
      </w:pPr>
      <w:r>
        <w:rPr>
          <w:rStyle w:val="CommentReference"/>
        </w:rPr>
        <w:annotationRef/>
      </w:r>
      <w:r>
        <w:t>Section 2 Air: GEOS-CF modeled concentrations (if applicable)</w:t>
      </w:r>
    </w:p>
  </w:comment>
  <w:comment w:id="96" w:author="Author" w:initials="A">
    <w:p w14:paraId="0C0678C0" w14:textId="77777777" w:rsidR="00D7193D" w:rsidRDefault="00D7193D" w:rsidP="00D7193D">
      <w:pPr>
        <w:pStyle w:val="CommentText"/>
      </w:pPr>
      <w:r>
        <w:rPr>
          <w:rStyle w:val="CommentReference"/>
        </w:rPr>
        <w:annotationRef/>
      </w:r>
      <w:r>
        <w:t>Sample data/notes section for PM2.5 if applicable (i.e., if have NASA data)</w:t>
      </w:r>
    </w:p>
  </w:comment>
  <w:comment w:id="97" w:author="Author" w:initials="A">
    <w:p w14:paraId="13815765" w14:textId="612EBA6F" w:rsidR="00D7193D" w:rsidRDefault="00D7193D" w:rsidP="00D7193D">
      <w:pPr>
        <w:pStyle w:val="CommentText"/>
      </w:pPr>
      <w:r>
        <w:rPr>
          <w:rStyle w:val="CommentReference"/>
        </w:rPr>
        <w:annotationRef/>
      </w:r>
      <w:r>
        <w:t>Endemic Diseases section (Select country on website to view diseases)</w:t>
      </w:r>
    </w:p>
  </w:comment>
  <w:comment w:id="98" w:author="Author" w:initials="A">
    <w:p w14:paraId="640271FD" w14:textId="57B083CA" w:rsidR="00015887" w:rsidRDefault="00D7193D" w:rsidP="005A7747">
      <w:pPr>
        <w:pStyle w:val="CommentText"/>
      </w:pPr>
      <w:r>
        <w:rPr>
          <w:rStyle w:val="CommentReference"/>
        </w:rPr>
        <w:annotationRef/>
      </w:r>
      <w:r w:rsidR="00015887">
        <w:t xml:space="preserve">Endemic Diseases section (CENTCOM specific references listed as examples). Consider assessment timeframe and use those that are applicable. </w:t>
      </w:r>
    </w:p>
  </w:comment>
  <w:comment w:id="99" w:author="Author" w:initials="A">
    <w:p w14:paraId="4CDBEEDF" w14:textId="49FF8FBF" w:rsidR="00D7193D" w:rsidRDefault="00D7193D" w:rsidP="00D7193D">
      <w:pPr>
        <w:pStyle w:val="CommentText"/>
      </w:pPr>
      <w:r>
        <w:rPr>
          <w:rStyle w:val="CommentReference"/>
        </w:rPr>
        <w:annotationRef/>
      </w:r>
      <w:r>
        <w:t>Endemic Diseases section (AFRICOM specific references)</w:t>
      </w:r>
    </w:p>
  </w:comment>
  <w:comment w:id="100" w:author="Author" w:initials="A">
    <w:p w14:paraId="2C67B36F" w14:textId="77777777" w:rsidR="00D7193D" w:rsidRDefault="00D7193D" w:rsidP="00D7193D">
      <w:pPr>
        <w:pStyle w:val="CommentText"/>
      </w:pPr>
      <w:r>
        <w:rPr>
          <w:rStyle w:val="CommentReference"/>
        </w:rPr>
        <w:annotationRef/>
      </w:r>
      <w:r>
        <w:t>Venomous Animals section</w:t>
      </w:r>
    </w:p>
  </w:comment>
  <w:comment w:id="101" w:author="Author" w:initials="A">
    <w:p w14:paraId="215B7BAC" w14:textId="77777777" w:rsidR="00D7193D" w:rsidRDefault="00D7193D" w:rsidP="00D7193D">
      <w:pPr>
        <w:pStyle w:val="CommentText"/>
      </w:pPr>
      <w:r>
        <w:rPr>
          <w:rStyle w:val="CommentReference"/>
        </w:rPr>
        <w:annotationRef/>
      </w:r>
      <w:r>
        <w:t>Heat/Cold Stress section</w:t>
      </w:r>
    </w:p>
  </w:comment>
  <w:comment w:id="102" w:author="Author" w:initials="A">
    <w:p w14:paraId="4DA440DD" w14:textId="77777777" w:rsidR="00D7193D" w:rsidRDefault="00D7193D" w:rsidP="00D7193D">
      <w:pPr>
        <w:pStyle w:val="CommentText"/>
      </w:pPr>
      <w:r>
        <w:rPr>
          <w:rStyle w:val="CommentReference"/>
        </w:rPr>
        <w:annotationRef/>
      </w:r>
      <w:bookmarkStart w:id="103" w:name="_Hlk129686219"/>
      <w:r>
        <w:t>Noise section</w:t>
      </w:r>
      <w:bookmarkEnd w:id="103"/>
    </w:p>
  </w:comment>
  <w:comment w:id="104" w:author="Author" w:initials="A">
    <w:p w14:paraId="31592DC9" w14:textId="77777777" w:rsidR="00D7193D" w:rsidRDefault="00D7193D" w:rsidP="00D7193D">
      <w:pPr>
        <w:pStyle w:val="CommentText"/>
      </w:pPr>
      <w:r>
        <w:rPr>
          <w:rStyle w:val="CommentReference"/>
        </w:rPr>
        <w:annotationRef/>
      </w:r>
      <w:r>
        <w:t>Noise section</w:t>
      </w:r>
    </w:p>
  </w:comment>
  <w:comment w:id="105" w:author="Author" w:initials="A">
    <w:p w14:paraId="453E4725" w14:textId="77777777" w:rsidR="00D7193D" w:rsidRDefault="00D7193D" w:rsidP="00D7193D">
      <w:pPr>
        <w:pStyle w:val="CommentText"/>
      </w:pPr>
      <w:r>
        <w:rPr>
          <w:rStyle w:val="CommentReference"/>
        </w:rPr>
        <w:annotationRef/>
      </w:r>
      <w:r>
        <w:t>Burn Pit section (2011 study)</w:t>
      </w:r>
    </w:p>
  </w:comment>
  <w:comment w:id="106" w:author="Author" w:initials="A">
    <w:p w14:paraId="6C5D9768" w14:textId="77777777" w:rsidR="00734687" w:rsidRDefault="00734687" w:rsidP="00734687">
      <w:pPr>
        <w:pStyle w:val="CommentText"/>
      </w:pPr>
      <w:r>
        <w:rPr>
          <w:rStyle w:val="CommentReference"/>
        </w:rPr>
        <w:annotationRef/>
      </w:r>
      <w:r>
        <w:t>Burn Pit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CF5FA" w15:done="0"/>
  <w15:commentEx w15:paraId="310A7F34" w15:done="0"/>
  <w15:commentEx w15:paraId="6A74E318" w15:done="0"/>
  <w15:commentEx w15:paraId="1FEA48C9" w15:done="0"/>
  <w15:commentEx w15:paraId="7494DB63" w15:done="0"/>
  <w15:commentEx w15:paraId="478C6D6C" w15:done="0"/>
  <w15:commentEx w15:paraId="7A2FBB87" w15:done="0"/>
  <w15:commentEx w15:paraId="09B9C87F" w15:done="0"/>
  <w15:commentEx w15:paraId="2E0EC14C" w15:done="0"/>
  <w15:commentEx w15:paraId="5A102C2C" w15:done="0"/>
  <w15:commentEx w15:paraId="39440D93" w15:done="0"/>
  <w15:commentEx w15:paraId="6308CC99" w15:done="0"/>
  <w15:commentEx w15:paraId="6D95A0B2" w15:done="0"/>
  <w15:commentEx w15:paraId="79931E6F" w15:done="0"/>
  <w15:commentEx w15:paraId="374D53F4" w15:done="0"/>
  <w15:commentEx w15:paraId="57107740" w15:done="0"/>
  <w15:commentEx w15:paraId="39F3B0FE" w15:done="0"/>
  <w15:commentEx w15:paraId="5A891146" w15:done="0"/>
  <w15:commentEx w15:paraId="0100C1E2" w15:done="0"/>
  <w15:commentEx w15:paraId="44C797FB" w15:done="0"/>
  <w15:commentEx w15:paraId="25E06178" w15:done="0"/>
  <w15:commentEx w15:paraId="465EDD97" w15:done="0"/>
  <w15:commentEx w15:paraId="01431C9F" w15:done="0"/>
  <w15:commentEx w15:paraId="27B7FE1A" w15:done="0"/>
  <w15:commentEx w15:paraId="6EF10643" w15:done="0"/>
  <w15:commentEx w15:paraId="2424BB23" w15:done="0"/>
  <w15:commentEx w15:paraId="4D20A107" w15:done="0"/>
  <w15:commentEx w15:paraId="4EB69168" w15:done="0"/>
  <w15:commentEx w15:paraId="09068E44" w15:done="0"/>
  <w15:commentEx w15:paraId="115B2E7D" w15:done="0"/>
  <w15:commentEx w15:paraId="58BCCD82" w15:done="0"/>
  <w15:commentEx w15:paraId="18E10457" w15:done="0"/>
  <w15:commentEx w15:paraId="54283253" w15:done="0"/>
  <w15:commentEx w15:paraId="11334734" w15:done="0"/>
  <w15:commentEx w15:paraId="6479061B" w15:done="0"/>
  <w15:commentEx w15:paraId="2DADDB0B" w15:done="0"/>
  <w15:commentEx w15:paraId="667BBE4C" w15:done="0"/>
  <w15:commentEx w15:paraId="692BC6E1" w15:done="0"/>
  <w15:commentEx w15:paraId="71470CDC" w15:done="0"/>
  <w15:commentEx w15:paraId="3279006F" w15:done="0"/>
  <w15:commentEx w15:paraId="2CACB4C7" w15:done="0"/>
  <w15:commentEx w15:paraId="56176D91" w15:done="0"/>
  <w15:commentEx w15:paraId="37F5CB05" w15:done="0"/>
  <w15:commentEx w15:paraId="13E2D8C1" w15:done="0"/>
  <w15:commentEx w15:paraId="58774820" w15:done="0"/>
  <w15:commentEx w15:paraId="6174663B" w15:done="0"/>
  <w15:commentEx w15:paraId="0C192F6C" w15:done="0"/>
  <w15:commentEx w15:paraId="09B1A5A1" w15:done="0"/>
  <w15:commentEx w15:paraId="7F2BD046" w15:done="0"/>
  <w15:commentEx w15:paraId="4EE215E0" w15:done="0"/>
  <w15:commentEx w15:paraId="526E035F" w15:done="0"/>
  <w15:commentEx w15:paraId="61843AE9" w15:done="0"/>
  <w15:commentEx w15:paraId="1C9E878E" w15:done="0"/>
  <w15:commentEx w15:paraId="62A3D5E3" w15:done="0"/>
  <w15:commentEx w15:paraId="28D4EFF6" w15:done="0"/>
  <w15:commentEx w15:paraId="0C0678C0" w15:done="0"/>
  <w15:commentEx w15:paraId="13815765" w15:done="0"/>
  <w15:commentEx w15:paraId="640271FD" w15:done="0"/>
  <w15:commentEx w15:paraId="4CDBEEDF" w15:done="0"/>
  <w15:commentEx w15:paraId="2C67B36F" w15:done="0"/>
  <w15:commentEx w15:paraId="215B7BAC" w15:done="0"/>
  <w15:commentEx w15:paraId="4DA440DD" w15:done="0"/>
  <w15:commentEx w15:paraId="31592DC9" w15:done="0"/>
  <w15:commentEx w15:paraId="453E4725" w15:done="0"/>
  <w15:commentEx w15:paraId="6C5D97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CF5FA" w16cid:durableId="276BABFB"/>
  <w16cid:commentId w16cid:paraId="310A7F34" w16cid:durableId="2AAA468C"/>
  <w16cid:commentId w16cid:paraId="6A74E318" w16cid:durableId="276BAC01"/>
  <w16cid:commentId w16cid:paraId="1FEA48C9" w16cid:durableId="29784EDC"/>
  <w16cid:commentId w16cid:paraId="7494DB63" w16cid:durableId="04489A08"/>
  <w16cid:commentId w16cid:paraId="478C6D6C" w16cid:durableId="2975D508"/>
  <w16cid:commentId w16cid:paraId="7A2FBB87" w16cid:durableId="2975D5B0"/>
  <w16cid:commentId w16cid:paraId="09B9C87F" w16cid:durableId="276BAC05"/>
  <w16cid:commentId w16cid:paraId="2E0EC14C" w16cid:durableId="29784FE5"/>
  <w16cid:commentId w16cid:paraId="5A102C2C" w16cid:durableId="23D0FFD9"/>
  <w16cid:commentId w16cid:paraId="39440D93" w16cid:durableId="281B061E"/>
  <w16cid:commentId w16cid:paraId="6308CC99" w16cid:durableId="282AB91E"/>
  <w16cid:commentId w16cid:paraId="6D95A0B2" w16cid:durableId="29785142"/>
  <w16cid:commentId w16cid:paraId="79931E6F" w16cid:durableId="76F33F39"/>
  <w16cid:commentId w16cid:paraId="374D53F4" w16cid:durableId="276BAC07"/>
  <w16cid:commentId w16cid:paraId="57107740" w16cid:durableId="296F6F8C"/>
  <w16cid:commentId w16cid:paraId="39F3B0FE" w16cid:durableId="296F7025"/>
  <w16cid:commentId w16cid:paraId="5A891146" w16cid:durableId="282471EC"/>
  <w16cid:commentId w16cid:paraId="0100C1E2" w16cid:durableId="3964558D"/>
  <w16cid:commentId w16cid:paraId="44C797FB" w16cid:durableId="2AA9314F"/>
  <w16cid:commentId w16cid:paraId="25E06178" w16cid:durableId="2AAA4AB7"/>
  <w16cid:commentId w16cid:paraId="465EDD97" w16cid:durableId="29785333"/>
  <w16cid:commentId w16cid:paraId="01431C9F" w16cid:durableId="2978541F"/>
  <w16cid:commentId w16cid:paraId="27B7FE1A" w16cid:durableId="297854E8"/>
  <w16cid:commentId w16cid:paraId="6EF10643" w16cid:durableId="276BAC0F"/>
  <w16cid:commentId w16cid:paraId="2424BB23" w16cid:durableId="297EE7CA"/>
  <w16cid:commentId w16cid:paraId="4D20A107" w16cid:durableId="276BAC16"/>
  <w16cid:commentId w16cid:paraId="4EB69168" w16cid:durableId="276BAC1B"/>
  <w16cid:commentId w16cid:paraId="09068E44" w16cid:durableId="276BAC22"/>
  <w16cid:commentId w16cid:paraId="115B2E7D" w16cid:durableId="28281AD5"/>
  <w16cid:commentId w16cid:paraId="58BCCD82" w16cid:durableId="276BAC28"/>
  <w16cid:commentId w16cid:paraId="18E10457" w16cid:durableId="297857CB"/>
  <w16cid:commentId w16cid:paraId="54283253" w16cid:durableId="282D5D23"/>
  <w16cid:commentId w16cid:paraId="11334734" w16cid:durableId="2978599F"/>
  <w16cid:commentId w16cid:paraId="6479061B" w16cid:durableId="29785A28"/>
  <w16cid:commentId w16cid:paraId="2DADDB0B" w16cid:durableId="276BAC2D"/>
  <w16cid:commentId w16cid:paraId="667BBE4C" w16cid:durableId="276BAC2E"/>
  <w16cid:commentId w16cid:paraId="692BC6E1" w16cid:durableId="278CA636"/>
  <w16cid:commentId w16cid:paraId="71470CDC" w16cid:durableId="281B096A"/>
  <w16cid:commentId w16cid:paraId="3279006F" w16cid:durableId="29787F30"/>
  <w16cid:commentId w16cid:paraId="2CACB4C7" w16cid:durableId="29785DF7"/>
  <w16cid:commentId w16cid:paraId="56176D91" w16cid:durableId="276BAC33"/>
  <w16cid:commentId w16cid:paraId="37F5CB05" w16cid:durableId="276BAC35"/>
  <w16cid:commentId w16cid:paraId="13E2D8C1" w16cid:durableId="29785E80"/>
  <w16cid:commentId w16cid:paraId="58774820" w16cid:durableId="297EE222"/>
  <w16cid:commentId w16cid:paraId="6174663B" w16cid:durableId="2ACB2C53"/>
  <w16cid:commentId w16cid:paraId="0C192F6C" w16cid:durableId="29786176"/>
  <w16cid:commentId w16cid:paraId="09B1A5A1" w16cid:durableId="2975BD30"/>
  <w16cid:commentId w16cid:paraId="7F2BD046" w16cid:durableId="2975BD07"/>
  <w16cid:commentId w16cid:paraId="4EE215E0" w16cid:durableId="2975BFB2"/>
  <w16cid:commentId w16cid:paraId="526E035F" w16cid:durableId="2975C09B"/>
  <w16cid:commentId w16cid:paraId="61843AE9" w16cid:durableId="276BAC3D"/>
  <w16cid:commentId w16cid:paraId="1C9E878E" w16cid:durableId="276A6BCA"/>
  <w16cid:commentId w16cid:paraId="62A3D5E3" w16cid:durableId="2ACB7753"/>
  <w16cid:commentId w16cid:paraId="28D4EFF6" w16cid:durableId="276BAC3E"/>
  <w16cid:commentId w16cid:paraId="0C0678C0" w16cid:durableId="2975C776"/>
  <w16cid:commentId w16cid:paraId="13815765" w16cid:durableId="276BAC40"/>
  <w16cid:commentId w16cid:paraId="640271FD" w16cid:durableId="276BAC41"/>
  <w16cid:commentId w16cid:paraId="4CDBEEDF" w16cid:durableId="276BAC42"/>
  <w16cid:commentId w16cid:paraId="2C67B36F" w16cid:durableId="276BAC43"/>
  <w16cid:commentId w16cid:paraId="215B7BAC" w16cid:durableId="276BAC44"/>
  <w16cid:commentId w16cid:paraId="4DA440DD" w16cid:durableId="276BAC45"/>
  <w16cid:commentId w16cid:paraId="31592DC9" w16cid:durableId="276BAC46"/>
  <w16cid:commentId w16cid:paraId="453E4725" w16cid:durableId="276BAC47"/>
  <w16cid:commentId w16cid:paraId="6C5D9768" w16cid:durableId="2ACB7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2C6C" w14:textId="77777777" w:rsidR="003805CA" w:rsidRDefault="003805CA" w:rsidP="0051520C">
      <w:r>
        <w:separator/>
      </w:r>
    </w:p>
    <w:p w14:paraId="0BF2EBFA" w14:textId="77777777" w:rsidR="003805CA" w:rsidRDefault="003805CA" w:rsidP="0051520C"/>
    <w:p w14:paraId="015386E7" w14:textId="77777777" w:rsidR="003805CA" w:rsidRDefault="003805CA" w:rsidP="0051520C"/>
  </w:endnote>
  <w:endnote w:type="continuationSeparator" w:id="0">
    <w:p w14:paraId="2FAF390C" w14:textId="77777777" w:rsidR="003805CA" w:rsidRDefault="003805CA" w:rsidP="0051520C">
      <w:r>
        <w:continuationSeparator/>
      </w:r>
    </w:p>
    <w:p w14:paraId="702C4F35" w14:textId="77777777" w:rsidR="003805CA" w:rsidRDefault="003805CA" w:rsidP="0051520C"/>
    <w:p w14:paraId="6EE799E4" w14:textId="77777777" w:rsidR="003805CA" w:rsidRDefault="003805CA" w:rsidP="0051520C"/>
  </w:endnote>
  <w:endnote w:type="continuationNotice" w:id="1">
    <w:p w14:paraId="2DA77AF9" w14:textId="77777777" w:rsidR="003805CA" w:rsidRDefault="00380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A151" w14:textId="2AB5145E" w:rsidR="008B7861" w:rsidRPr="004113E9" w:rsidRDefault="008B7861" w:rsidP="00060430">
    <w:pPr>
      <w:pStyle w:val="Footer"/>
      <w:jc w:val="center"/>
      <w:rPr>
        <w:rStyle w:val="PageNumber"/>
        <w:sz w:val="22"/>
        <w:szCs w:val="22"/>
      </w:rPr>
    </w:pPr>
    <w:r w:rsidRPr="004113E9">
      <w:t xml:space="preserve">Page </w:t>
    </w:r>
    <w:r w:rsidRPr="004113E9">
      <w:rPr>
        <w:rStyle w:val="PageNumber"/>
        <w:sz w:val="22"/>
        <w:szCs w:val="22"/>
      </w:rPr>
      <w:fldChar w:fldCharType="begin"/>
    </w:r>
    <w:r w:rsidRPr="004113E9">
      <w:rPr>
        <w:rStyle w:val="PageNumber"/>
        <w:sz w:val="22"/>
        <w:szCs w:val="22"/>
      </w:rPr>
      <w:instrText xml:space="preserve"> PAGE </w:instrText>
    </w:r>
    <w:r w:rsidRPr="004113E9">
      <w:rPr>
        <w:rStyle w:val="PageNumber"/>
        <w:sz w:val="22"/>
        <w:szCs w:val="22"/>
      </w:rPr>
      <w:fldChar w:fldCharType="separate"/>
    </w:r>
    <w:r w:rsidR="00192F35">
      <w:rPr>
        <w:rStyle w:val="PageNumber"/>
        <w:noProof/>
        <w:sz w:val="22"/>
        <w:szCs w:val="22"/>
      </w:rPr>
      <w:t>21</w:t>
    </w:r>
    <w:r w:rsidRPr="004113E9">
      <w:rPr>
        <w:rStyle w:val="PageNumber"/>
        <w:sz w:val="22"/>
        <w:szCs w:val="22"/>
      </w:rPr>
      <w:fldChar w:fldCharType="end"/>
    </w:r>
    <w:r w:rsidRPr="004113E9">
      <w:rPr>
        <w:rStyle w:val="PageNumber"/>
        <w:sz w:val="22"/>
        <w:szCs w:val="22"/>
      </w:rPr>
      <w:t xml:space="preserve"> of </w:t>
    </w:r>
    <w:r w:rsidRPr="004113E9">
      <w:rPr>
        <w:rStyle w:val="PageNumber"/>
        <w:sz w:val="22"/>
        <w:szCs w:val="22"/>
      </w:rPr>
      <w:fldChar w:fldCharType="begin"/>
    </w:r>
    <w:r w:rsidRPr="004113E9">
      <w:rPr>
        <w:rStyle w:val="PageNumber"/>
        <w:sz w:val="22"/>
        <w:szCs w:val="22"/>
      </w:rPr>
      <w:instrText xml:space="preserve"> NUMPAGES </w:instrText>
    </w:r>
    <w:r w:rsidRPr="004113E9">
      <w:rPr>
        <w:rStyle w:val="PageNumber"/>
        <w:sz w:val="22"/>
        <w:szCs w:val="22"/>
      </w:rPr>
      <w:fldChar w:fldCharType="separate"/>
    </w:r>
    <w:r w:rsidR="00192F35">
      <w:rPr>
        <w:rStyle w:val="PageNumber"/>
        <w:noProof/>
        <w:sz w:val="22"/>
        <w:szCs w:val="22"/>
      </w:rPr>
      <w:t>26</w:t>
    </w:r>
    <w:r w:rsidRPr="004113E9">
      <w:rPr>
        <w:rStyle w:val="PageNumber"/>
        <w:sz w:val="22"/>
        <w:szCs w:val="22"/>
      </w:rPr>
      <w:fldChar w:fldCharType="end"/>
    </w:r>
  </w:p>
  <w:p w14:paraId="3A4D6536" w14:textId="3DCBC247" w:rsidR="008B7861" w:rsidRPr="000F1E63" w:rsidRDefault="008B7861" w:rsidP="00060430">
    <w:pPr>
      <w:jc w:val="center"/>
    </w:pPr>
    <w:r w:rsidRPr="004113E9">
      <w:t xml:space="preserve">Reviewed by </w:t>
    </w:r>
    <w:r w:rsidRPr="007F17C2">
      <w:rPr>
        <w:highlight w:val="yellow"/>
      </w:rPr>
      <w:t>C</w:t>
    </w:r>
    <w:r w:rsidR="00317095">
      <w:rPr>
        <w:highlight w:val="yellow"/>
      </w:rPr>
      <w:t>O</w:t>
    </w:r>
    <w:r w:rsidRPr="007F17C2">
      <w:rPr>
        <w:highlight w:val="yellow"/>
      </w:rPr>
      <w:t>COM</w:t>
    </w:r>
    <w:r w:rsidRPr="004113E9">
      <w:t xml:space="preserve"> </w:t>
    </w:r>
    <w:r w:rsidRPr="000F1E63">
      <w:t>(Day Month Year)</w:t>
    </w:r>
  </w:p>
  <w:p w14:paraId="463098B7" w14:textId="77777777" w:rsidR="008B7861" w:rsidRPr="004113E9" w:rsidRDefault="008B7861" w:rsidP="00060430">
    <w:pPr>
      <w:jc w:val="center"/>
    </w:pPr>
    <w:r w:rsidRPr="000F1E63">
      <w:t>Final Approval Date (Day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50E9" w14:textId="77777777" w:rsidR="003805CA" w:rsidRDefault="003805CA" w:rsidP="0051520C">
      <w:r>
        <w:separator/>
      </w:r>
    </w:p>
  </w:footnote>
  <w:footnote w:type="continuationSeparator" w:id="0">
    <w:p w14:paraId="01CAEA26" w14:textId="77777777" w:rsidR="003805CA" w:rsidRDefault="003805CA" w:rsidP="0051520C">
      <w:r>
        <w:continuationSeparator/>
      </w:r>
    </w:p>
    <w:p w14:paraId="60856AE0" w14:textId="77777777" w:rsidR="003805CA" w:rsidRDefault="003805CA" w:rsidP="0051520C"/>
    <w:p w14:paraId="7962009F" w14:textId="77777777" w:rsidR="003805CA" w:rsidRDefault="003805CA" w:rsidP="0051520C"/>
  </w:footnote>
  <w:footnote w:type="continuationNotice" w:id="1">
    <w:p w14:paraId="1392020A" w14:textId="77777777" w:rsidR="003805CA" w:rsidRDefault="003805CA"/>
  </w:footnote>
  <w:footnote w:id="2">
    <w:p w14:paraId="448C5926" w14:textId="77777777" w:rsidR="00346524" w:rsidRDefault="00346524" w:rsidP="0051520C">
      <w:pPr>
        <w:pStyle w:val="FootnoteText"/>
      </w:pPr>
      <w:r>
        <w:rPr>
          <w:rStyle w:val="FootnoteReference"/>
        </w:rPr>
        <w:footnoteRef/>
      </w:r>
      <w:r>
        <w:t xml:space="preserve"> I</w:t>
      </w:r>
      <w:r w:rsidRPr="00A74718">
        <w:t>dentification of a trademarked product does not imply endorsement by the Army</w:t>
      </w:r>
      <w:r>
        <w:t>.</w:t>
      </w:r>
    </w:p>
    <w:p w14:paraId="5744EFB4" w14:textId="77777777" w:rsidR="00346524" w:rsidRDefault="00346524" w:rsidP="0051520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6AC" w14:textId="77777777" w:rsidR="008B7861" w:rsidRPr="00F83550" w:rsidRDefault="008B7861" w:rsidP="00DD50D9">
    <w:pPr>
      <w:pStyle w:val="Header"/>
      <w:jc w:val="right"/>
    </w:pPr>
    <w:r w:rsidRPr="00597B54">
      <w:rPr>
        <w:highlight w:val="green"/>
      </w:rPr>
      <w:t>Camp XXX, Country: Year to Year</w:t>
    </w:r>
  </w:p>
  <w:p w14:paraId="762C3536" w14:textId="00D8DA60" w:rsidR="008B7861" w:rsidRPr="00F83550" w:rsidRDefault="008B7861" w:rsidP="00515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6C"/>
    <w:multiLevelType w:val="hybridMultilevel"/>
    <w:tmpl w:val="7C5422C4"/>
    <w:lvl w:ilvl="0" w:tplc="1E0E8176">
      <w:start w:val="1"/>
      <w:numFmt w:val="bullet"/>
      <w:lvlText w:val=""/>
      <w:lvlJc w:val="left"/>
      <w:pPr>
        <w:ind w:left="1080" w:hanging="360"/>
      </w:pPr>
      <w:rPr>
        <w:rFonts w:ascii="Symbol" w:hAnsi="Symbol"/>
      </w:rPr>
    </w:lvl>
    <w:lvl w:ilvl="1" w:tplc="322646A8">
      <w:start w:val="1"/>
      <w:numFmt w:val="bullet"/>
      <w:lvlText w:val=""/>
      <w:lvlJc w:val="left"/>
      <w:pPr>
        <w:ind w:left="1440" w:hanging="360"/>
      </w:pPr>
      <w:rPr>
        <w:rFonts w:ascii="Symbol" w:hAnsi="Symbol"/>
      </w:rPr>
    </w:lvl>
    <w:lvl w:ilvl="2" w:tplc="9EDC0606">
      <w:start w:val="1"/>
      <w:numFmt w:val="bullet"/>
      <w:lvlText w:val=""/>
      <w:lvlJc w:val="left"/>
      <w:pPr>
        <w:ind w:left="1080" w:hanging="360"/>
      </w:pPr>
      <w:rPr>
        <w:rFonts w:ascii="Symbol" w:hAnsi="Symbol"/>
      </w:rPr>
    </w:lvl>
    <w:lvl w:ilvl="3" w:tplc="53BCED3C">
      <w:start w:val="1"/>
      <w:numFmt w:val="bullet"/>
      <w:lvlText w:val=""/>
      <w:lvlJc w:val="left"/>
      <w:pPr>
        <w:ind w:left="1080" w:hanging="360"/>
      </w:pPr>
      <w:rPr>
        <w:rFonts w:ascii="Symbol" w:hAnsi="Symbol"/>
      </w:rPr>
    </w:lvl>
    <w:lvl w:ilvl="4" w:tplc="CC709E50">
      <w:start w:val="1"/>
      <w:numFmt w:val="bullet"/>
      <w:lvlText w:val=""/>
      <w:lvlJc w:val="left"/>
      <w:pPr>
        <w:ind w:left="1080" w:hanging="360"/>
      </w:pPr>
      <w:rPr>
        <w:rFonts w:ascii="Symbol" w:hAnsi="Symbol"/>
      </w:rPr>
    </w:lvl>
    <w:lvl w:ilvl="5" w:tplc="DEAE35BA">
      <w:start w:val="1"/>
      <w:numFmt w:val="bullet"/>
      <w:lvlText w:val=""/>
      <w:lvlJc w:val="left"/>
      <w:pPr>
        <w:ind w:left="1080" w:hanging="360"/>
      </w:pPr>
      <w:rPr>
        <w:rFonts w:ascii="Symbol" w:hAnsi="Symbol"/>
      </w:rPr>
    </w:lvl>
    <w:lvl w:ilvl="6" w:tplc="90045384">
      <w:start w:val="1"/>
      <w:numFmt w:val="bullet"/>
      <w:lvlText w:val=""/>
      <w:lvlJc w:val="left"/>
      <w:pPr>
        <w:ind w:left="1080" w:hanging="360"/>
      </w:pPr>
      <w:rPr>
        <w:rFonts w:ascii="Symbol" w:hAnsi="Symbol"/>
      </w:rPr>
    </w:lvl>
    <w:lvl w:ilvl="7" w:tplc="6932419A">
      <w:start w:val="1"/>
      <w:numFmt w:val="bullet"/>
      <w:lvlText w:val=""/>
      <w:lvlJc w:val="left"/>
      <w:pPr>
        <w:ind w:left="1080" w:hanging="360"/>
      </w:pPr>
      <w:rPr>
        <w:rFonts w:ascii="Symbol" w:hAnsi="Symbol"/>
      </w:rPr>
    </w:lvl>
    <w:lvl w:ilvl="8" w:tplc="3E163712">
      <w:start w:val="1"/>
      <w:numFmt w:val="bullet"/>
      <w:lvlText w:val=""/>
      <w:lvlJc w:val="left"/>
      <w:pPr>
        <w:ind w:left="1080" w:hanging="360"/>
      </w:pPr>
      <w:rPr>
        <w:rFonts w:ascii="Symbol" w:hAnsi="Symbol"/>
      </w:rPr>
    </w:lvl>
  </w:abstractNum>
  <w:abstractNum w:abstractNumId="1" w15:restartNumberingAfterBreak="0">
    <w:nsid w:val="00AE4E46"/>
    <w:multiLevelType w:val="hybridMultilevel"/>
    <w:tmpl w:val="17AEB848"/>
    <w:lvl w:ilvl="0" w:tplc="11FEB05C">
      <w:start w:val="1"/>
      <w:numFmt w:val="bullet"/>
      <w:lvlText w:val=""/>
      <w:lvlJc w:val="left"/>
      <w:pPr>
        <w:ind w:left="900" w:hanging="360"/>
      </w:pPr>
      <w:rPr>
        <w:rFonts w:ascii="Symbol" w:hAnsi="Symbol"/>
      </w:rPr>
    </w:lvl>
    <w:lvl w:ilvl="1" w:tplc="59D001A4">
      <w:start w:val="1"/>
      <w:numFmt w:val="bullet"/>
      <w:lvlText w:val=""/>
      <w:lvlJc w:val="left"/>
      <w:pPr>
        <w:ind w:left="900" w:hanging="360"/>
      </w:pPr>
      <w:rPr>
        <w:rFonts w:ascii="Symbol" w:hAnsi="Symbol"/>
      </w:rPr>
    </w:lvl>
    <w:lvl w:ilvl="2" w:tplc="60FAB710">
      <w:start w:val="1"/>
      <w:numFmt w:val="bullet"/>
      <w:lvlText w:val=""/>
      <w:lvlJc w:val="left"/>
      <w:pPr>
        <w:ind w:left="900" w:hanging="360"/>
      </w:pPr>
      <w:rPr>
        <w:rFonts w:ascii="Symbol" w:hAnsi="Symbol"/>
      </w:rPr>
    </w:lvl>
    <w:lvl w:ilvl="3" w:tplc="6686B69C">
      <w:start w:val="1"/>
      <w:numFmt w:val="bullet"/>
      <w:lvlText w:val=""/>
      <w:lvlJc w:val="left"/>
      <w:pPr>
        <w:ind w:left="900" w:hanging="360"/>
      </w:pPr>
      <w:rPr>
        <w:rFonts w:ascii="Symbol" w:hAnsi="Symbol"/>
      </w:rPr>
    </w:lvl>
    <w:lvl w:ilvl="4" w:tplc="21E6D716">
      <w:start w:val="1"/>
      <w:numFmt w:val="bullet"/>
      <w:lvlText w:val=""/>
      <w:lvlJc w:val="left"/>
      <w:pPr>
        <w:ind w:left="900" w:hanging="360"/>
      </w:pPr>
      <w:rPr>
        <w:rFonts w:ascii="Symbol" w:hAnsi="Symbol"/>
      </w:rPr>
    </w:lvl>
    <w:lvl w:ilvl="5" w:tplc="1C80AE3E">
      <w:start w:val="1"/>
      <w:numFmt w:val="bullet"/>
      <w:lvlText w:val=""/>
      <w:lvlJc w:val="left"/>
      <w:pPr>
        <w:ind w:left="900" w:hanging="360"/>
      </w:pPr>
      <w:rPr>
        <w:rFonts w:ascii="Symbol" w:hAnsi="Symbol"/>
      </w:rPr>
    </w:lvl>
    <w:lvl w:ilvl="6" w:tplc="FCCA82DA">
      <w:start w:val="1"/>
      <w:numFmt w:val="bullet"/>
      <w:lvlText w:val=""/>
      <w:lvlJc w:val="left"/>
      <w:pPr>
        <w:ind w:left="900" w:hanging="360"/>
      </w:pPr>
      <w:rPr>
        <w:rFonts w:ascii="Symbol" w:hAnsi="Symbol"/>
      </w:rPr>
    </w:lvl>
    <w:lvl w:ilvl="7" w:tplc="7EECA12C">
      <w:start w:val="1"/>
      <w:numFmt w:val="bullet"/>
      <w:lvlText w:val=""/>
      <w:lvlJc w:val="left"/>
      <w:pPr>
        <w:ind w:left="900" w:hanging="360"/>
      </w:pPr>
      <w:rPr>
        <w:rFonts w:ascii="Symbol" w:hAnsi="Symbol"/>
      </w:rPr>
    </w:lvl>
    <w:lvl w:ilvl="8" w:tplc="B3DC86EC">
      <w:start w:val="1"/>
      <w:numFmt w:val="bullet"/>
      <w:lvlText w:val=""/>
      <w:lvlJc w:val="left"/>
      <w:pPr>
        <w:ind w:left="900" w:hanging="360"/>
      </w:pPr>
      <w:rPr>
        <w:rFonts w:ascii="Symbol" w:hAnsi="Symbol"/>
      </w:rPr>
    </w:lvl>
  </w:abstractNum>
  <w:abstractNum w:abstractNumId="2" w15:restartNumberingAfterBreak="0">
    <w:nsid w:val="016A7B9D"/>
    <w:multiLevelType w:val="hybridMultilevel"/>
    <w:tmpl w:val="FAB24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9456B"/>
    <w:multiLevelType w:val="hybridMultilevel"/>
    <w:tmpl w:val="6BFE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206D1"/>
    <w:multiLevelType w:val="hybridMultilevel"/>
    <w:tmpl w:val="5E94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68D6"/>
    <w:multiLevelType w:val="hybridMultilevel"/>
    <w:tmpl w:val="2BE8EBD2"/>
    <w:lvl w:ilvl="0" w:tplc="6650609C">
      <w:start w:val="1"/>
      <w:numFmt w:val="decimal"/>
      <w:lvlText w:val="%1."/>
      <w:lvlJc w:val="left"/>
      <w:pPr>
        <w:ind w:left="720" w:hanging="360"/>
      </w:pPr>
    </w:lvl>
    <w:lvl w:ilvl="1" w:tplc="B07C15F0">
      <w:start w:val="1"/>
      <w:numFmt w:val="decimal"/>
      <w:lvlText w:val="%2."/>
      <w:lvlJc w:val="left"/>
      <w:pPr>
        <w:ind w:left="720" w:hanging="360"/>
      </w:pPr>
    </w:lvl>
    <w:lvl w:ilvl="2" w:tplc="E2DA5058">
      <w:start w:val="1"/>
      <w:numFmt w:val="decimal"/>
      <w:lvlText w:val="%3."/>
      <w:lvlJc w:val="left"/>
      <w:pPr>
        <w:ind w:left="720" w:hanging="360"/>
      </w:pPr>
    </w:lvl>
    <w:lvl w:ilvl="3" w:tplc="D6565E8E">
      <w:start w:val="1"/>
      <w:numFmt w:val="decimal"/>
      <w:lvlText w:val="%4."/>
      <w:lvlJc w:val="left"/>
      <w:pPr>
        <w:ind w:left="720" w:hanging="360"/>
      </w:pPr>
    </w:lvl>
    <w:lvl w:ilvl="4" w:tplc="E56CDFE2">
      <w:start w:val="1"/>
      <w:numFmt w:val="decimal"/>
      <w:lvlText w:val="%5."/>
      <w:lvlJc w:val="left"/>
      <w:pPr>
        <w:ind w:left="720" w:hanging="360"/>
      </w:pPr>
    </w:lvl>
    <w:lvl w:ilvl="5" w:tplc="5ED69C6A">
      <w:start w:val="1"/>
      <w:numFmt w:val="decimal"/>
      <w:lvlText w:val="%6."/>
      <w:lvlJc w:val="left"/>
      <w:pPr>
        <w:ind w:left="720" w:hanging="360"/>
      </w:pPr>
    </w:lvl>
    <w:lvl w:ilvl="6" w:tplc="0AC22DD6">
      <w:start w:val="1"/>
      <w:numFmt w:val="decimal"/>
      <w:lvlText w:val="%7."/>
      <w:lvlJc w:val="left"/>
      <w:pPr>
        <w:ind w:left="720" w:hanging="360"/>
      </w:pPr>
    </w:lvl>
    <w:lvl w:ilvl="7" w:tplc="C830535C">
      <w:start w:val="1"/>
      <w:numFmt w:val="decimal"/>
      <w:lvlText w:val="%8."/>
      <w:lvlJc w:val="left"/>
      <w:pPr>
        <w:ind w:left="720" w:hanging="360"/>
      </w:pPr>
    </w:lvl>
    <w:lvl w:ilvl="8" w:tplc="67B62324">
      <w:start w:val="1"/>
      <w:numFmt w:val="decimal"/>
      <w:lvlText w:val="%9."/>
      <w:lvlJc w:val="left"/>
      <w:pPr>
        <w:ind w:left="720" w:hanging="360"/>
      </w:pPr>
    </w:lvl>
  </w:abstractNum>
  <w:abstractNum w:abstractNumId="6" w15:restartNumberingAfterBreak="0">
    <w:nsid w:val="223A437F"/>
    <w:multiLevelType w:val="hybridMultilevel"/>
    <w:tmpl w:val="9CE80822"/>
    <w:lvl w:ilvl="0" w:tplc="3B2C5050">
      <w:start w:val="1"/>
      <w:numFmt w:val="bullet"/>
      <w:lvlText w:val=""/>
      <w:lvlJc w:val="left"/>
      <w:pPr>
        <w:ind w:left="1080" w:hanging="360"/>
      </w:pPr>
      <w:rPr>
        <w:rFonts w:ascii="Symbol" w:hAnsi="Symbol"/>
      </w:rPr>
    </w:lvl>
    <w:lvl w:ilvl="1" w:tplc="7C229EE0">
      <w:start w:val="1"/>
      <w:numFmt w:val="bullet"/>
      <w:lvlText w:val=""/>
      <w:lvlJc w:val="left"/>
      <w:pPr>
        <w:ind w:left="1440" w:hanging="360"/>
      </w:pPr>
      <w:rPr>
        <w:rFonts w:ascii="Symbol" w:hAnsi="Symbol"/>
      </w:rPr>
    </w:lvl>
    <w:lvl w:ilvl="2" w:tplc="C598D8A4">
      <w:start w:val="1"/>
      <w:numFmt w:val="bullet"/>
      <w:lvlText w:val=""/>
      <w:lvlJc w:val="left"/>
      <w:pPr>
        <w:ind w:left="1080" w:hanging="360"/>
      </w:pPr>
      <w:rPr>
        <w:rFonts w:ascii="Symbol" w:hAnsi="Symbol"/>
      </w:rPr>
    </w:lvl>
    <w:lvl w:ilvl="3" w:tplc="9744ABF8">
      <w:start w:val="1"/>
      <w:numFmt w:val="bullet"/>
      <w:lvlText w:val=""/>
      <w:lvlJc w:val="left"/>
      <w:pPr>
        <w:ind w:left="1080" w:hanging="360"/>
      </w:pPr>
      <w:rPr>
        <w:rFonts w:ascii="Symbol" w:hAnsi="Symbol"/>
      </w:rPr>
    </w:lvl>
    <w:lvl w:ilvl="4" w:tplc="DAF47EDC">
      <w:start w:val="1"/>
      <w:numFmt w:val="bullet"/>
      <w:lvlText w:val=""/>
      <w:lvlJc w:val="left"/>
      <w:pPr>
        <w:ind w:left="1080" w:hanging="360"/>
      </w:pPr>
      <w:rPr>
        <w:rFonts w:ascii="Symbol" w:hAnsi="Symbol"/>
      </w:rPr>
    </w:lvl>
    <w:lvl w:ilvl="5" w:tplc="4CB07B74">
      <w:start w:val="1"/>
      <w:numFmt w:val="bullet"/>
      <w:lvlText w:val=""/>
      <w:lvlJc w:val="left"/>
      <w:pPr>
        <w:ind w:left="1080" w:hanging="360"/>
      </w:pPr>
      <w:rPr>
        <w:rFonts w:ascii="Symbol" w:hAnsi="Symbol"/>
      </w:rPr>
    </w:lvl>
    <w:lvl w:ilvl="6" w:tplc="78607A34">
      <w:start w:val="1"/>
      <w:numFmt w:val="bullet"/>
      <w:lvlText w:val=""/>
      <w:lvlJc w:val="left"/>
      <w:pPr>
        <w:ind w:left="1080" w:hanging="360"/>
      </w:pPr>
      <w:rPr>
        <w:rFonts w:ascii="Symbol" w:hAnsi="Symbol"/>
      </w:rPr>
    </w:lvl>
    <w:lvl w:ilvl="7" w:tplc="9A6A3AB6">
      <w:start w:val="1"/>
      <w:numFmt w:val="bullet"/>
      <w:lvlText w:val=""/>
      <w:lvlJc w:val="left"/>
      <w:pPr>
        <w:ind w:left="1080" w:hanging="360"/>
      </w:pPr>
      <w:rPr>
        <w:rFonts w:ascii="Symbol" w:hAnsi="Symbol"/>
      </w:rPr>
    </w:lvl>
    <w:lvl w:ilvl="8" w:tplc="D98426BC">
      <w:start w:val="1"/>
      <w:numFmt w:val="bullet"/>
      <w:lvlText w:val=""/>
      <w:lvlJc w:val="left"/>
      <w:pPr>
        <w:ind w:left="1080" w:hanging="360"/>
      </w:pPr>
      <w:rPr>
        <w:rFonts w:ascii="Symbol" w:hAnsi="Symbol"/>
      </w:rPr>
    </w:lvl>
  </w:abstractNum>
  <w:abstractNum w:abstractNumId="7" w15:restartNumberingAfterBreak="0">
    <w:nsid w:val="29E15D0D"/>
    <w:multiLevelType w:val="hybridMultilevel"/>
    <w:tmpl w:val="E988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118C9"/>
    <w:multiLevelType w:val="hybridMultilevel"/>
    <w:tmpl w:val="0608AE34"/>
    <w:lvl w:ilvl="0" w:tplc="9E6C42B4">
      <w:start w:val="1"/>
      <w:numFmt w:val="bullet"/>
      <w:lvlText w:val=""/>
      <w:lvlJc w:val="left"/>
      <w:pPr>
        <w:ind w:left="900" w:hanging="360"/>
      </w:pPr>
      <w:rPr>
        <w:rFonts w:ascii="Symbol" w:hAnsi="Symbol"/>
      </w:rPr>
    </w:lvl>
    <w:lvl w:ilvl="1" w:tplc="71A40732">
      <w:start w:val="1"/>
      <w:numFmt w:val="bullet"/>
      <w:lvlText w:val=""/>
      <w:lvlJc w:val="left"/>
      <w:pPr>
        <w:ind w:left="900" w:hanging="360"/>
      </w:pPr>
      <w:rPr>
        <w:rFonts w:ascii="Symbol" w:hAnsi="Symbol"/>
      </w:rPr>
    </w:lvl>
    <w:lvl w:ilvl="2" w:tplc="4EF8EC2C">
      <w:start w:val="1"/>
      <w:numFmt w:val="bullet"/>
      <w:lvlText w:val=""/>
      <w:lvlJc w:val="left"/>
      <w:pPr>
        <w:ind w:left="900" w:hanging="360"/>
      </w:pPr>
      <w:rPr>
        <w:rFonts w:ascii="Symbol" w:hAnsi="Symbol"/>
      </w:rPr>
    </w:lvl>
    <w:lvl w:ilvl="3" w:tplc="E22669DE">
      <w:start w:val="1"/>
      <w:numFmt w:val="bullet"/>
      <w:lvlText w:val=""/>
      <w:lvlJc w:val="left"/>
      <w:pPr>
        <w:ind w:left="900" w:hanging="360"/>
      </w:pPr>
      <w:rPr>
        <w:rFonts w:ascii="Symbol" w:hAnsi="Symbol"/>
      </w:rPr>
    </w:lvl>
    <w:lvl w:ilvl="4" w:tplc="CE2E3D72">
      <w:start w:val="1"/>
      <w:numFmt w:val="bullet"/>
      <w:lvlText w:val=""/>
      <w:lvlJc w:val="left"/>
      <w:pPr>
        <w:ind w:left="900" w:hanging="360"/>
      </w:pPr>
      <w:rPr>
        <w:rFonts w:ascii="Symbol" w:hAnsi="Symbol"/>
      </w:rPr>
    </w:lvl>
    <w:lvl w:ilvl="5" w:tplc="C4F8D876">
      <w:start w:val="1"/>
      <w:numFmt w:val="bullet"/>
      <w:lvlText w:val=""/>
      <w:lvlJc w:val="left"/>
      <w:pPr>
        <w:ind w:left="900" w:hanging="360"/>
      </w:pPr>
      <w:rPr>
        <w:rFonts w:ascii="Symbol" w:hAnsi="Symbol"/>
      </w:rPr>
    </w:lvl>
    <w:lvl w:ilvl="6" w:tplc="BEF655CC">
      <w:start w:val="1"/>
      <w:numFmt w:val="bullet"/>
      <w:lvlText w:val=""/>
      <w:lvlJc w:val="left"/>
      <w:pPr>
        <w:ind w:left="900" w:hanging="360"/>
      </w:pPr>
      <w:rPr>
        <w:rFonts w:ascii="Symbol" w:hAnsi="Symbol"/>
      </w:rPr>
    </w:lvl>
    <w:lvl w:ilvl="7" w:tplc="C3CE68E2">
      <w:start w:val="1"/>
      <w:numFmt w:val="bullet"/>
      <w:lvlText w:val=""/>
      <w:lvlJc w:val="left"/>
      <w:pPr>
        <w:ind w:left="900" w:hanging="360"/>
      </w:pPr>
      <w:rPr>
        <w:rFonts w:ascii="Symbol" w:hAnsi="Symbol"/>
      </w:rPr>
    </w:lvl>
    <w:lvl w:ilvl="8" w:tplc="2068A44C">
      <w:start w:val="1"/>
      <w:numFmt w:val="bullet"/>
      <w:lvlText w:val=""/>
      <w:lvlJc w:val="left"/>
      <w:pPr>
        <w:ind w:left="900" w:hanging="360"/>
      </w:pPr>
      <w:rPr>
        <w:rFonts w:ascii="Symbol" w:hAnsi="Symbol"/>
      </w:rPr>
    </w:lvl>
  </w:abstractNum>
  <w:abstractNum w:abstractNumId="9" w15:restartNumberingAfterBreak="0">
    <w:nsid w:val="3DB92295"/>
    <w:multiLevelType w:val="hybridMultilevel"/>
    <w:tmpl w:val="5A76BAA0"/>
    <w:lvl w:ilvl="0" w:tplc="EF6E14E0">
      <w:start w:val="1"/>
      <w:numFmt w:val="decimal"/>
      <w:lvlText w:val="%1."/>
      <w:lvlJc w:val="left"/>
      <w:pPr>
        <w:ind w:left="720" w:hanging="360"/>
      </w:pPr>
      <w:rPr>
        <w:rFonts w:hint="default"/>
      </w:rPr>
    </w:lvl>
    <w:lvl w:ilvl="1" w:tplc="0F72DF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31D23"/>
    <w:multiLevelType w:val="hybridMultilevel"/>
    <w:tmpl w:val="19485460"/>
    <w:lvl w:ilvl="0" w:tplc="6B784304">
      <w:start w:val="1"/>
      <w:numFmt w:val="bullet"/>
      <w:lvlText w:val=""/>
      <w:lvlJc w:val="left"/>
      <w:pPr>
        <w:ind w:left="900" w:hanging="360"/>
      </w:pPr>
      <w:rPr>
        <w:rFonts w:ascii="Symbol" w:hAnsi="Symbol"/>
      </w:rPr>
    </w:lvl>
    <w:lvl w:ilvl="1" w:tplc="58DED05A">
      <w:start w:val="1"/>
      <w:numFmt w:val="bullet"/>
      <w:lvlText w:val=""/>
      <w:lvlJc w:val="left"/>
      <w:pPr>
        <w:ind w:left="900" w:hanging="360"/>
      </w:pPr>
      <w:rPr>
        <w:rFonts w:ascii="Symbol" w:hAnsi="Symbol"/>
      </w:rPr>
    </w:lvl>
    <w:lvl w:ilvl="2" w:tplc="96FA868A">
      <w:start w:val="1"/>
      <w:numFmt w:val="bullet"/>
      <w:lvlText w:val=""/>
      <w:lvlJc w:val="left"/>
      <w:pPr>
        <w:ind w:left="900" w:hanging="360"/>
      </w:pPr>
      <w:rPr>
        <w:rFonts w:ascii="Symbol" w:hAnsi="Symbol"/>
      </w:rPr>
    </w:lvl>
    <w:lvl w:ilvl="3" w:tplc="C81C5F32">
      <w:start w:val="1"/>
      <w:numFmt w:val="bullet"/>
      <w:lvlText w:val=""/>
      <w:lvlJc w:val="left"/>
      <w:pPr>
        <w:ind w:left="900" w:hanging="360"/>
      </w:pPr>
      <w:rPr>
        <w:rFonts w:ascii="Symbol" w:hAnsi="Symbol"/>
      </w:rPr>
    </w:lvl>
    <w:lvl w:ilvl="4" w:tplc="7A4AFCFC">
      <w:start w:val="1"/>
      <w:numFmt w:val="bullet"/>
      <w:lvlText w:val=""/>
      <w:lvlJc w:val="left"/>
      <w:pPr>
        <w:ind w:left="900" w:hanging="360"/>
      </w:pPr>
      <w:rPr>
        <w:rFonts w:ascii="Symbol" w:hAnsi="Symbol"/>
      </w:rPr>
    </w:lvl>
    <w:lvl w:ilvl="5" w:tplc="F3AE1D3C">
      <w:start w:val="1"/>
      <w:numFmt w:val="bullet"/>
      <w:lvlText w:val=""/>
      <w:lvlJc w:val="left"/>
      <w:pPr>
        <w:ind w:left="900" w:hanging="360"/>
      </w:pPr>
      <w:rPr>
        <w:rFonts w:ascii="Symbol" w:hAnsi="Symbol"/>
      </w:rPr>
    </w:lvl>
    <w:lvl w:ilvl="6" w:tplc="E52A3510">
      <w:start w:val="1"/>
      <w:numFmt w:val="bullet"/>
      <w:lvlText w:val=""/>
      <w:lvlJc w:val="left"/>
      <w:pPr>
        <w:ind w:left="900" w:hanging="360"/>
      </w:pPr>
      <w:rPr>
        <w:rFonts w:ascii="Symbol" w:hAnsi="Symbol"/>
      </w:rPr>
    </w:lvl>
    <w:lvl w:ilvl="7" w:tplc="2166B93A">
      <w:start w:val="1"/>
      <w:numFmt w:val="bullet"/>
      <w:lvlText w:val=""/>
      <w:lvlJc w:val="left"/>
      <w:pPr>
        <w:ind w:left="900" w:hanging="360"/>
      </w:pPr>
      <w:rPr>
        <w:rFonts w:ascii="Symbol" w:hAnsi="Symbol"/>
      </w:rPr>
    </w:lvl>
    <w:lvl w:ilvl="8" w:tplc="9BD4847A">
      <w:start w:val="1"/>
      <w:numFmt w:val="bullet"/>
      <w:lvlText w:val=""/>
      <w:lvlJc w:val="left"/>
      <w:pPr>
        <w:ind w:left="900" w:hanging="360"/>
      </w:pPr>
      <w:rPr>
        <w:rFonts w:ascii="Symbol" w:hAnsi="Symbol"/>
      </w:rPr>
    </w:lvl>
  </w:abstractNum>
  <w:abstractNum w:abstractNumId="11" w15:restartNumberingAfterBreak="0">
    <w:nsid w:val="460E4C42"/>
    <w:multiLevelType w:val="hybridMultilevel"/>
    <w:tmpl w:val="11D6890E"/>
    <w:lvl w:ilvl="0" w:tplc="828E1E34">
      <w:numFmt w:val="bullet"/>
      <w:lvlText w:val="-"/>
      <w:lvlJc w:val="left"/>
      <w:pPr>
        <w:ind w:left="1080" w:hanging="360"/>
      </w:pPr>
      <w:rPr>
        <w:rFonts w:ascii="Arial" w:eastAsia="Times New Roman" w:hAnsi="Arial" w:cs="Aria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787FF2"/>
    <w:multiLevelType w:val="hybridMultilevel"/>
    <w:tmpl w:val="1EF05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165C22"/>
    <w:multiLevelType w:val="hybridMultilevel"/>
    <w:tmpl w:val="143A3FCA"/>
    <w:lvl w:ilvl="0" w:tplc="4F32BAA8">
      <w:start w:val="1"/>
      <w:numFmt w:val="bullet"/>
      <w:lvlText w:val=""/>
      <w:lvlJc w:val="left"/>
      <w:pPr>
        <w:ind w:left="1080" w:hanging="360"/>
      </w:pPr>
      <w:rPr>
        <w:rFonts w:ascii="Symbol" w:hAnsi="Symbol"/>
      </w:rPr>
    </w:lvl>
    <w:lvl w:ilvl="1" w:tplc="B8727E9C">
      <w:start w:val="1"/>
      <w:numFmt w:val="bullet"/>
      <w:lvlText w:val=""/>
      <w:lvlJc w:val="left"/>
      <w:pPr>
        <w:ind w:left="1440" w:hanging="360"/>
      </w:pPr>
      <w:rPr>
        <w:rFonts w:ascii="Symbol" w:hAnsi="Symbol"/>
      </w:rPr>
    </w:lvl>
    <w:lvl w:ilvl="2" w:tplc="AEA8D6D8">
      <w:start w:val="1"/>
      <w:numFmt w:val="bullet"/>
      <w:lvlText w:val=""/>
      <w:lvlJc w:val="left"/>
      <w:pPr>
        <w:ind w:left="1080" w:hanging="360"/>
      </w:pPr>
      <w:rPr>
        <w:rFonts w:ascii="Symbol" w:hAnsi="Symbol"/>
      </w:rPr>
    </w:lvl>
    <w:lvl w:ilvl="3" w:tplc="D3BECE90">
      <w:start w:val="1"/>
      <w:numFmt w:val="bullet"/>
      <w:lvlText w:val=""/>
      <w:lvlJc w:val="left"/>
      <w:pPr>
        <w:ind w:left="1080" w:hanging="360"/>
      </w:pPr>
      <w:rPr>
        <w:rFonts w:ascii="Symbol" w:hAnsi="Symbol"/>
      </w:rPr>
    </w:lvl>
    <w:lvl w:ilvl="4" w:tplc="0D8CFA60">
      <w:start w:val="1"/>
      <w:numFmt w:val="bullet"/>
      <w:lvlText w:val=""/>
      <w:lvlJc w:val="left"/>
      <w:pPr>
        <w:ind w:left="1080" w:hanging="360"/>
      </w:pPr>
      <w:rPr>
        <w:rFonts w:ascii="Symbol" w:hAnsi="Symbol"/>
      </w:rPr>
    </w:lvl>
    <w:lvl w:ilvl="5" w:tplc="D9704B9A">
      <w:start w:val="1"/>
      <w:numFmt w:val="bullet"/>
      <w:lvlText w:val=""/>
      <w:lvlJc w:val="left"/>
      <w:pPr>
        <w:ind w:left="1080" w:hanging="360"/>
      </w:pPr>
      <w:rPr>
        <w:rFonts w:ascii="Symbol" w:hAnsi="Symbol"/>
      </w:rPr>
    </w:lvl>
    <w:lvl w:ilvl="6" w:tplc="AB2A1202">
      <w:start w:val="1"/>
      <w:numFmt w:val="bullet"/>
      <w:lvlText w:val=""/>
      <w:lvlJc w:val="left"/>
      <w:pPr>
        <w:ind w:left="1080" w:hanging="360"/>
      </w:pPr>
      <w:rPr>
        <w:rFonts w:ascii="Symbol" w:hAnsi="Symbol"/>
      </w:rPr>
    </w:lvl>
    <w:lvl w:ilvl="7" w:tplc="3D847A92">
      <w:start w:val="1"/>
      <w:numFmt w:val="bullet"/>
      <w:lvlText w:val=""/>
      <w:lvlJc w:val="left"/>
      <w:pPr>
        <w:ind w:left="1080" w:hanging="360"/>
      </w:pPr>
      <w:rPr>
        <w:rFonts w:ascii="Symbol" w:hAnsi="Symbol"/>
      </w:rPr>
    </w:lvl>
    <w:lvl w:ilvl="8" w:tplc="BC162C9A">
      <w:start w:val="1"/>
      <w:numFmt w:val="bullet"/>
      <w:lvlText w:val=""/>
      <w:lvlJc w:val="left"/>
      <w:pPr>
        <w:ind w:left="1080" w:hanging="360"/>
      </w:pPr>
      <w:rPr>
        <w:rFonts w:ascii="Symbol" w:hAnsi="Symbol"/>
      </w:rPr>
    </w:lvl>
  </w:abstractNum>
  <w:abstractNum w:abstractNumId="14" w15:restartNumberingAfterBreak="0">
    <w:nsid w:val="54AB714C"/>
    <w:multiLevelType w:val="multilevel"/>
    <w:tmpl w:val="6A70E2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6472485"/>
    <w:multiLevelType w:val="hybridMultilevel"/>
    <w:tmpl w:val="5ED6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9C752F"/>
    <w:multiLevelType w:val="hybridMultilevel"/>
    <w:tmpl w:val="B3F666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364E4"/>
    <w:multiLevelType w:val="hybridMultilevel"/>
    <w:tmpl w:val="8522DB30"/>
    <w:lvl w:ilvl="0" w:tplc="FA3C7424">
      <w:start w:val="1"/>
      <w:numFmt w:val="decimal"/>
      <w:lvlText w:val="Not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32A33"/>
    <w:multiLevelType w:val="hybridMultilevel"/>
    <w:tmpl w:val="67383A5C"/>
    <w:lvl w:ilvl="0" w:tplc="37D8A93A">
      <w:start w:val="1"/>
      <w:numFmt w:val="bullet"/>
      <w:lvlText w:val=""/>
      <w:lvlJc w:val="left"/>
      <w:pPr>
        <w:ind w:left="900" w:hanging="360"/>
      </w:pPr>
      <w:rPr>
        <w:rFonts w:ascii="Symbol" w:hAnsi="Symbol"/>
      </w:rPr>
    </w:lvl>
    <w:lvl w:ilvl="1" w:tplc="B7D88454">
      <w:start w:val="1"/>
      <w:numFmt w:val="bullet"/>
      <w:lvlText w:val=""/>
      <w:lvlJc w:val="left"/>
      <w:pPr>
        <w:ind w:left="900" w:hanging="360"/>
      </w:pPr>
      <w:rPr>
        <w:rFonts w:ascii="Symbol" w:hAnsi="Symbol"/>
      </w:rPr>
    </w:lvl>
    <w:lvl w:ilvl="2" w:tplc="2F62152C">
      <w:start w:val="1"/>
      <w:numFmt w:val="bullet"/>
      <w:lvlText w:val=""/>
      <w:lvlJc w:val="left"/>
      <w:pPr>
        <w:ind w:left="900" w:hanging="360"/>
      </w:pPr>
      <w:rPr>
        <w:rFonts w:ascii="Symbol" w:hAnsi="Symbol"/>
      </w:rPr>
    </w:lvl>
    <w:lvl w:ilvl="3" w:tplc="A3B25EFE">
      <w:start w:val="1"/>
      <w:numFmt w:val="bullet"/>
      <w:lvlText w:val=""/>
      <w:lvlJc w:val="left"/>
      <w:pPr>
        <w:ind w:left="900" w:hanging="360"/>
      </w:pPr>
      <w:rPr>
        <w:rFonts w:ascii="Symbol" w:hAnsi="Symbol"/>
      </w:rPr>
    </w:lvl>
    <w:lvl w:ilvl="4" w:tplc="ABE610E2">
      <w:start w:val="1"/>
      <w:numFmt w:val="bullet"/>
      <w:lvlText w:val=""/>
      <w:lvlJc w:val="left"/>
      <w:pPr>
        <w:ind w:left="900" w:hanging="360"/>
      </w:pPr>
      <w:rPr>
        <w:rFonts w:ascii="Symbol" w:hAnsi="Symbol"/>
      </w:rPr>
    </w:lvl>
    <w:lvl w:ilvl="5" w:tplc="01C07240">
      <w:start w:val="1"/>
      <w:numFmt w:val="bullet"/>
      <w:lvlText w:val=""/>
      <w:lvlJc w:val="left"/>
      <w:pPr>
        <w:ind w:left="900" w:hanging="360"/>
      </w:pPr>
      <w:rPr>
        <w:rFonts w:ascii="Symbol" w:hAnsi="Symbol"/>
      </w:rPr>
    </w:lvl>
    <w:lvl w:ilvl="6" w:tplc="5A0AAA9A">
      <w:start w:val="1"/>
      <w:numFmt w:val="bullet"/>
      <w:lvlText w:val=""/>
      <w:lvlJc w:val="left"/>
      <w:pPr>
        <w:ind w:left="900" w:hanging="360"/>
      </w:pPr>
      <w:rPr>
        <w:rFonts w:ascii="Symbol" w:hAnsi="Symbol"/>
      </w:rPr>
    </w:lvl>
    <w:lvl w:ilvl="7" w:tplc="877E6938">
      <w:start w:val="1"/>
      <w:numFmt w:val="bullet"/>
      <w:lvlText w:val=""/>
      <w:lvlJc w:val="left"/>
      <w:pPr>
        <w:ind w:left="900" w:hanging="360"/>
      </w:pPr>
      <w:rPr>
        <w:rFonts w:ascii="Symbol" w:hAnsi="Symbol"/>
      </w:rPr>
    </w:lvl>
    <w:lvl w:ilvl="8" w:tplc="EBD02A5E">
      <w:start w:val="1"/>
      <w:numFmt w:val="bullet"/>
      <w:lvlText w:val=""/>
      <w:lvlJc w:val="left"/>
      <w:pPr>
        <w:ind w:left="900" w:hanging="360"/>
      </w:pPr>
      <w:rPr>
        <w:rFonts w:ascii="Symbol" w:hAnsi="Symbol"/>
      </w:rPr>
    </w:lvl>
  </w:abstractNum>
  <w:abstractNum w:abstractNumId="19" w15:restartNumberingAfterBreak="0">
    <w:nsid w:val="726842B8"/>
    <w:multiLevelType w:val="hybridMultilevel"/>
    <w:tmpl w:val="7FCE8FC2"/>
    <w:lvl w:ilvl="0" w:tplc="8228BA54">
      <w:start w:val="1"/>
      <w:numFmt w:val="bullet"/>
      <w:lvlText w:val=""/>
      <w:lvlJc w:val="left"/>
      <w:pPr>
        <w:ind w:left="900" w:hanging="360"/>
      </w:pPr>
      <w:rPr>
        <w:rFonts w:ascii="Symbol" w:hAnsi="Symbol"/>
      </w:rPr>
    </w:lvl>
    <w:lvl w:ilvl="1" w:tplc="BFEAEDA6">
      <w:start w:val="1"/>
      <w:numFmt w:val="bullet"/>
      <w:lvlText w:val=""/>
      <w:lvlJc w:val="left"/>
      <w:pPr>
        <w:ind w:left="900" w:hanging="360"/>
      </w:pPr>
      <w:rPr>
        <w:rFonts w:ascii="Symbol" w:hAnsi="Symbol"/>
      </w:rPr>
    </w:lvl>
    <w:lvl w:ilvl="2" w:tplc="92F691FA">
      <w:start w:val="1"/>
      <w:numFmt w:val="bullet"/>
      <w:lvlText w:val=""/>
      <w:lvlJc w:val="left"/>
      <w:pPr>
        <w:ind w:left="900" w:hanging="360"/>
      </w:pPr>
      <w:rPr>
        <w:rFonts w:ascii="Symbol" w:hAnsi="Symbol"/>
      </w:rPr>
    </w:lvl>
    <w:lvl w:ilvl="3" w:tplc="B0E82E80">
      <w:start w:val="1"/>
      <w:numFmt w:val="bullet"/>
      <w:lvlText w:val=""/>
      <w:lvlJc w:val="left"/>
      <w:pPr>
        <w:ind w:left="900" w:hanging="360"/>
      </w:pPr>
      <w:rPr>
        <w:rFonts w:ascii="Symbol" w:hAnsi="Symbol"/>
      </w:rPr>
    </w:lvl>
    <w:lvl w:ilvl="4" w:tplc="3EF0E0B8">
      <w:start w:val="1"/>
      <w:numFmt w:val="bullet"/>
      <w:lvlText w:val=""/>
      <w:lvlJc w:val="left"/>
      <w:pPr>
        <w:ind w:left="900" w:hanging="360"/>
      </w:pPr>
      <w:rPr>
        <w:rFonts w:ascii="Symbol" w:hAnsi="Symbol"/>
      </w:rPr>
    </w:lvl>
    <w:lvl w:ilvl="5" w:tplc="91668090">
      <w:start w:val="1"/>
      <w:numFmt w:val="bullet"/>
      <w:lvlText w:val=""/>
      <w:lvlJc w:val="left"/>
      <w:pPr>
        <w:ind w:left="900" w:hanging="360"/>
      </w:pPr>
      <w:rPr>
        <w:rFonts w:ascii="Symbol" w:hAnsi="Symbol"/>
      </w:rPr>
    </w:lvl>
    <w:lvl w:ilvl="6" w:tplc="ACC8E408">
      <w:start w:val="1"/>
      <w:numFmt w:val="bullet"/>
      <w:lvlText w:val=""/>
      <w:lvlJc w:val="left"/>
      <w:pPr>
        <w:ind w:left="900" w:hanging="360"/>
      </w:pPr>
      <w:rPr>
        <w:rFonts w:ascii="Symbol" w:hAnsi="Symbol"/>
      </w:rPr>
    </w:lvl>
    <w:lvl w:ilvl="7" w:tplc="854C5B18">
      <w:start w:val="1"/>
      <w:numFmt w:val="bullet"/>
      <w:lvlText w:val=""/>
      <w:lvlJc w:val="left"/>
      <w:pPr>
        <w:ind w:left="900" w:hanging="360"/>
      </w:pPr>
      <w:rPr>
        <w:rFonts w:ascii="Symbol" w:hAnsi="Symbol"/>
      </w:rPr>
    </w:lvl>
    <w:lvl w:ilvl="8" w:tplc="1D1E50E4">
      <w:start w:val="1"/>
      <w:numFmt w:val="bullet"/>
      <w:lvlText w:val=""/>
      <w:lvlJc w:val="left"/>
      <w:pPr>
        <w:ind w:left="900" w:hanging="360"/>
      </w:pPr>
      <w:rPr>
        <w:rFonts w:ascii="Symbol" w:hAnsi="Symbol"/>
      </w:rPr>
    </w:lvl>
  </w:abstractNum>
  <w:abstractNum w:abstractNumId="20" w15:restartNumberingAfterBreak="0">
    <w:nsid w:val="7BC92D37"/>
    <w:multiLevelType w:val="hybridMultilevel"/>
    <w:tmpl w:val="8A567F8C"/>
    <w:lvl w:ilvl="0" w:tplc="C1788EC6">
      <w:start w:val="1"/>
      <w:numFmt w:val="decimal"/>
      <w:lvlText w:val="%1."/>
      <w:lvlJc w:val="left"/>
      <w:pPr>
        <w:ind w:left="720" w:hanging="360"/>
      </w:pPr>
    </w:lvl>
    <w:lvl w:ilvl="1" w:tplc="A9827714">
      <w:start w:val="1"/>
      <w:numFmt w:val="decimal"/>
      <w:lvlText w:val="%2."/>
      <w:lvlJc w:val="left"/>
      <w:pPr>
        <w:ind w:left="720" w:hanging="360"/>
      </w:pPr>
    </w:lvl>
    <w:lvl w:ilvl="2" w:tplc="CD0A75DC">
      <w:start w:val="1"/>
      <w:numFmt w:val="decimal"/>
      <w:lvlText w:val="%3."/>
      <w:lvlJc w:val="left"/>
      <w:pPr>
        <w:ind w:left="720" w:hanging="360"/>
      </w:pPr>
    </w:lvl>
    <w:lvl w:ilvl="3" w:tplc="D5DE342C">
      <w:start w:val="1"/>
      <w:numFmt w:val="decimal"/>
      <w:lvlText w:val="%4."/>
      <w:lvlJc w:val="left"/>
      <w:pPr>
        <w:ind w:left="720" w:hanging="360"/>
      </w:pPr>
    </w:lvl>
    <w:lvl w:ilvl="4" w:tplc="FCE0D908">
      <w:start w:val="1"/>
      <w:numFmt w:val="decimal"/>
      <w:lvlText w:val="%5."/>
      <w:lvlJc w:val="left"/>
      <w:pPr>
        <w:ind w:left="720" w:hanging="360"/>
      </w:pPr>
    </w:lvl>
    <w:lvl w:ilvl="5" w:tplc="96A23C88">
      <w:start w:val="1"/>
      <w:numFmt w:val="decimal"/>
      <w:lvlText w:val="%6."/>
      <w:lvlJc w:val="left"/>
      <w:pPr>
        <w:ind w:left="720" w:hanging="360"/>
      </w:pPr>
    </w:lvl>
    <w:lvl w:ilvl="6" w:tplc="85CC7FC2">
      <w:start w:val="1"/>
      <w:numFmt w:val="decimal"/>
      <w:lvlText w:val="%7."/>
      <w:lvlJc w:val="left"/>
      <w:pPr>
        <w:ind w:left="720" w:hanging="360"/>
      </w:pPr>
    </w:lvl>
    <w:lvl w:ilvl="7" w:tplc="BB2AEF8A">
      <w:start w:val="1"/>
      <w:numFmt w:val="decimal"/>
      <w:lvlText w:val="%8."/>
      <w:lvlJc w:val="left"/>
      <w:pPr>
        <w:ind w:left="720" w:hanging="360"/>
      </w:pPr>
    </w:lvl>
    <w:lvl w:ilvl="8" w:tplc="49F48BC4">
      <w:start w:val="1"/>
      <w:numFmt w:val="decimal"/>
      <w:lvlText w:val="%9."/>
      <w:lvlJc w:val="left"/>
      <w:pPr>
        <w:ind w:left="720" w:hanging="360"/>
      </w:pPr>
    </w:lvl>
  </w:abstractNum>
  <w:abstractNum w:abstractNumId="21" w15:restartNumberingAfterBreak="0">
    <w:nsid w:val="7D310FD1"/>
    <w:multiLevelType w:val="hybridMultilevel"/>
    <w:tmpl w:val="1EF05EDE"/>
    <w:lvl w:ilvl="0" w:tplc="EF6E14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2375812">
    <w:abstractNumId w:val="16"/>
  </w:num>
  <w:num w:numId="2" w16cid:durableId="974064728">
    <w:abstractNumId w:val="15"/>
  </w:num>
  <w:num w:numId="3" w16cid:durableId="1366447554">
    <w:abstractNumId w:val="3"/>
  </w:num>
  <w:num w:numId="4" w16cid:durableId="195123351">
    <w:abstractNumId w:val="14"/>
  </w:num>
  <w:num w:numId="5" w16cid:durableId="610362076">
    <w:abstractNumId w:val="17"/>
  </w:num>
  <w:num w:numId="6" w16cid:durableId="462694676">
    <w:abstractNumId w:val="4"/>
  </w:num>
  <w:num w:numId="7" w16cid:durableId="637608648">
    <w:abstractNumId w:val="2"/>
  </w:num>
  <w:num w:numId="8" w16cid:durableId="76679688">
    <w:abstractNumId w:val="21"/>
  </w:num>
  <w:num w:numId="9" w16cid:durableId="706217659">
    <w:abstractNumId w:val="7"/>
  </w:num>
  <w:num w:numId="10" w16cid:durableId="1590118131">
    <w:abstractNumId w:val="11"/>
  </w:num>
  <w:num w:numId="11" w16cid:durableId="808398701">
    <w:abstractNumId w:val="5"/>
  </w:num>
  <w:num w:numId="12" w16cid:durableId="1483618920">
    <w:abstractNumId w:val="1"/>
  </w:num>
  <w:num w:numId="13" w16cid:durableId="1466000270">
    <w:abstractNumId w:val="10"/>
  </w:num>
  <w:num w:numId="14" w16cid:durableId="1873806710">
    <w:abstractNumId w:val="18"/>
  </w:num>
  <w:num w:numId="15" w16cid:durableId="1783108579">
    <w:abstractNumId w:val="19"/>
  </w:num>
  <w:num w:numId="16" w16cid:durableId="1306861510">
    <w:abstractNumId w:val="12"/>
  </w:num>
  <w:num w:numId="17" w16cid:durableId="728698708">
    <w:abstractNumId w:val="9"/>
  </w:num>
  <w:num w:numId="18" w16cid:durableId="1367826994">
    <w:abstractNumId w:val="8"/>
  </w:num>
  <w:num w:numId="19" w16cid:durableId="560405503">
    <w:abstractNumId w:val="20"/>
  </w:num>
  <w:num w:numId="20" w16cid:durableId="944965115">
    <w:abstractNumId w:val="6"/>
  </w:num>
  <w:num w:numId="21" w16cid:durableId="400641790">
    <w:abstractNumId w:val="0"/>
  </w:num>
  <w:num w:numId="22" w16cid:durableId="129194069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F5"/>
    <w:rsid w:val="0000048F"/>
    <w:rsid w:val="000012AE"/>
    <w:rsid w:val="00001670"/>
    <w:rsid w:val="00002012"/>
    <w:rsid w:val="00002FAF"/>
    <w:rsid w:val="00003212"/>
    <w:rsid w:val="0000346F"/>
    <w:rsid w:val="00003625"/>
    <w:rsid w:val="000039E4"/>
    <w:rsid w:val="00005C19"/>
    <w:rsid w:val="0000671F"/>
    <w:rsid w:val="0000789D"/>
    <w:rsid w:val="00007DE3"/>
    <w:rsid w:val="000106D5"/>
    <w:rsid w:val="00010C74"/>
    <w:rsid w:val="00010E89"/>
    <w:rsid w:val="00011DC7"/>
    <w:rsid w:val="00011FB3"/>
    <w:rsid w:val="000128E2"/>
    <w:rsid w:val="00013267"/>
    <w:rsid w:val="000138A5"/>
    <w:rsid w:val="00013DA1"/>
    <w:rsid w:val="00014021"/>
    <w:rsid w:val="00014D5F"/>
    <w:rsid w:val="00015247"/>
    <w:rsid w:val="00015887"/>
    <w:rsid w:val="00015F68"/>
    <w:rsid w:val="00015FC1"/>
    <w:rsid w:val="00015FF7"/>
    <w:rsid w:val="00016160"/>
    <w:rsid w:val="0001745F"/>
    <w:rsid w:val="000175C8"/>
    <w:rsid w:val="00017D86"/>
    <w:rsid w:val="00020DF5"/>
    <w:rsid w:val="00020E24"/>
    <w:rsid w:val="00020EFA"/>
    <w:rsid w:val="0002144D"/>
    <w:rsid w:val="000217E9"/>
    <w:rsid w:val="00021891"/>
    <w:rsid w:val="000223E6"/>
    <w:rsid w:val="000228B9"/>
    <w:rsid w:val="00022D13"/>
    <w:rsid w:val="00022D29"/>
    <w:rsid w:val="000230DA"/>
    <w:rsid w:val="00023EBE"/>
    <w:rsid w:val="00023ED2"/>
    <w:rsid w:val="00024354"/>
    <w:rsid w:val="00024F1F"/>
    <w:rsid w:val="00025536"/>
    <w:rsid w:val="000255FF"/>
    <w:rsid w:val="000258C7"/>
    <w:rsid w:val="00026524"/>
    <w:rsid w:val="000265AE"/>
    <w:rsid w:val="00026DDD"/>
    <w:rsid w:val="0002798D"/>
    <w:rsid w:val="00027BAC"/>
    <w:rsid w:val="00030C50"/>
    <w:rsid w:val="00030E00"/>
    <w:rsid w:val="0003108A"/>
    <w:rsid w:val="00031169"/>
    <w:rsid w:val="00031E2F"/>
    <w:rsid w:val="00031F46"/>
    <w:rsid w:val="00032652"/>
    <w:rsid w:val="000327A3"/>
    <w:rsid w:val="00032D50"/>
    <w:rsid w:val="0003329A"/>
    <w:rsid w:val="0003345C"/>
    <w:rsid w:val="00034131"/>
    <w:rsid w:val="00034609"/>
    <w:rsid w:val="00034657"/>
    <w:rsid w:val="00034985"/>
    <w:rsid w:val="00034BE5"/>
    <w:rsid w:val="00034D4D"/>
    <w:rsid w:val="00036860"/>
    <w:rsid w:val="00037583"/>
    <w:rsid w:val="000378E8"/>
    <w:rsid w:val="0003793E"/>
    <w:rsid w:val="00037AF7"/>
    <w:rsid w:val="00037ECF"/>
    <w:rsid w:val="00037ED4"/>
    <w:rsid w:val="00037EFD"/>
    <w:rsid w:val="000406C6"/>
    <w:rsid w:val="000407D7"/>
    <w:rsid w:val="000412B8"/>
    <w:rsid w:val="0004244D"/>
    <w:rsid w:val="000435B9"/>
    <w:rsid w:val="00043E94"/>
    <w:rsid w:val="0004492E"/>
    <w:rsid w:val="0004555E"/>
    <w:rsid w:val="00045F50"/>
    <w:rsid w:val="0004627E"/>
    <w:rsid w:val="0004627F"/>
    <w:rsid w:val="00046D9E"/>
    <w:rsid w:val="00047060"/>
    <w:rsid w:val="000473AC"/>
    <w:rsid w:val="00047531"/>
    <w:rsid w:val="00047E3B"/>
    <w:rsid w:val="00047EB5"/>
    <w:rsid w:val="000504A0"/>
    <w:rsid w:val="0005173E"/>
    <w:rsid w:val="0005179B"/>
    <w:rsid w:val="00051CD6"/>
    <w:rsid w:val="00051E93"/>
    <w:rsid w:val="00051FB3"/>
    <w:rsid w:val="00052109"/>
    <w:rsid w:val="000523A3"/>
    <w:rsid w:val="0005247E"/>
    <w:rsid w:val="000546F7"/>
    <w:rsid w:val="00054952"/>
    <w:rsid w:val="000556C9"/>
    <w:rsid w:val="0005605F"/>
    <w:rsid w:val="00056C49"/>
    <w:rsid w:val="00056D05"/>
    <w:rsid w:val="00057419"/>
    <w:rsid w:val="000579D2"/>
    <w:rsid w:val="00057DBF"/>
    <w:rsid w:val="00060430"/>
    <w:rsid w:val="00060725"/>
    <w:rsid w:val="00060D8C"/>
    <w:rsid w:val="00061BE2"/>
    <w:rsid w:val="0006213B"/>
    <w:rsid w:val="000630E4"/>
    <w:rsid w:val="00064390"/>
    <w:rsid w:val="0006449E"/>
    <w:rsid w:val="000646FB"/>
    <w:rsid w:val="000648AE"/>
    <w:rsid w:val="00064FE7"/>
    <w:rsid w:val="0006516E"/>
    <w:rsid w:val="00065730"/>
    <w:rsid w:val="00066DDF"/>
    <w:rsid w:val="0006712F"/>
    <w:rsid w:val="00067D51"/>
    <w:rsid w:val="00070658"/>
    <w:rsid w:val="00070CB2"/>
    <w:rsid w:val="00070E5D"/>
    <w:rsid w:val="00071008"/>
    <w:rsid w:val="00071436"/>
    <w:rsid w:val="00071D4F"/>
    <w:rsid w:val="00072A91"/>
    <w:rsid w:val="00073584"/>
    <w:rsid w:val="000736D3"/>
    <w:rsid w:val="00073CD5"/>
    <w:rsid w:val="00073DE3"/>
    <w:rsid w:val="00074621"/>
    <w:rsid w:val="0007483E"/>
    <w:rsid w:val="00074840"/>
    <w:rsid w:val="000755F2"/>
    <w:rsid w:val="0007561B"/>
    <w:rsid w:val="000757C0"/>
    <w:rsid w:val="00076008"/>
    <w:rsid w:val="000765FE"/>
    <w:rsid w:val="00076BDB"/>
    <w:rsid w:val="00076E98"/>
    <w:rsid w:val="00077020"/>
    <w:rsid w:val="000771CF"/>
    <w:rsid w:val="00077757"/>
    <w:rsid w:val="00080473"/>
    <w:rsid w:val="0008059E"/>
    <w:rsid w:val="000819FB"/>
    <w:rsid w:val="00081B46"/>
    <w:rsid w:val="000826B9"/>
    <w:rsid w:val="00084D23"/>
    <w:rsid w:val="00084DEE"/>
    <w:rsid w:val="000853DE"/>
    <w:rsid w:val="0008547F"/>
    <w:rsid w:val="00085E91"/>
    <w:rsid w:val="00085EAE"/>
    <w:rsid w:val="0008612C"/>
    <w:rsid w:val="00086227"/>
    <w:rsid w:val="0009090D"/>
    <w:rsid w:val="00090977"/>
    <w:rsid w:val="00091BCC"/>
    <w:rsid w:val="000920E8"/>
    <w:rsid w:val="000923CD"/>
    <w:rsid w:val="00093578"/>
    <w:rsid w:val="00093E1F"/>
    <w:rsid w:val="00093FD0"/>
    <w:rsid w:val="00094B63"/>
    <w:rsid w:val="00094C84"/>
    <w:rsid w:val="00096036"/>
    <w:rsid w:val="00096775"/>
    <w:rsid w:val="000967F2"/>
    <w:rsid w:val="000972C1"/>
    <w:rsid w:val="000974AD"/>
    <w:rsid w:val="0009776C"/>
    <w:rsid w:val="00097E9B"/>
    <w:rsid w:val="00097FA1"/>
    <w:rsid w:val="000A0499"/>
    <w:rsid w:val="000A0658"/>
    <w:rsid w:val="000A0DCB"/>
    <w:rsid w:val="000A24A3"/>
    <w:rsid w:val="000A2969"/>
    <w:rsid w:val="000A30F0"/>
    <w:rsid w:val="000A3916"/>
    <w:rsid w:val="000A3A94"/>
    <w:rsid w:val="000A3CA7"/>
    <w:rsid w:val="000A3E63"/>
    <w:rsid w:val="000A407F"/>
    <w:rsid w:val="000A4DBC"/>
    <w:rsid w:val="000A5602"/>
    <w:rsid w:val="000A56FE"/>
    <w:rsid w:val="000A5EA3"/>
    <w:rsid w:val="000A648B"/>
    <w:rsid w:val="000A777A"/>
    <w:rsid w:val="000A7EBF"/>
    <w:rsid w:val="000B04B1"/>
    <w:rsid w:val="000B0B3C"/>
    <w:rsid w:val="000B10D4"/>
    <w:rsid w:val="000B16E1"/>
    <w:rsid w:val="000B1727"/>
    <w:rsid w:val="000B1C61"/>
    <w:rsid w:val="000B2358"/>
    <w:rsid w:val="000B2B55"/>
    <w:rsid w:val="000B2B75"/>
    <w:rsid w:val="000B3340"/>
    <w:rsid w:val="000B34FB"/>
    <w:rsid w:val="000B3B69"/>
    <w:rsid w:val="000B4ABD"/>
    <w:rsid w:val="000B4B12"/>
    <w:rsid w:val="000B4D84"/>
    <w:rsid w:val="000B4FD8"/>
    <w:rsid w:val="000B50B4"/>
    <w:rsid w:val="000B52EF"/>
    <w:rsid w:val="000B53AB"/>
    <w:rsid w:val="000B64AE"/>
    <w:rsid w:val="000B6A4D"/>
    <w:rsid w:val="000B774C"/>
    <w:rsid w:val="000C0A7D"/>
    <w:rsid w:val="000C16E4"/>
    <w:rsid w:val="000C2A4B"/>
    <w:rsid w:val="000C31F5"/>
    <w:rsid w:val="000C329E"/>
    <w:rsid w:val="000C36C0"/>
    <w:rsid w:val="000C4574"/>
    <w:rsid w:val="000C4BC9"/>
    <w:rsid w:val="000C55A7"/>
    <w:rsid w:val="000D09F5"/>
    <w:rsid w:val="000D0D6C"/>
    <w:rsid w:val="000D1293"/>
    <w:rsid w:val="000D1A76"/>
    <w:rsid w:val="000D291B"/>
    <w:rsid w:val="000D2B3A"/>
    <w:rsid w:val="000D305B"/>
    <w:rsid w:val="000D356D"/>
    <w:rsid w:val="000D3ABC"/>
    <w:rsid w:val="000D408F"/>
    <w:rsid w:val="000D4358"/>
    <w:rsid w:val="000D4793"/>
    <w:rsid w:val="000D5311"/>
    <w:rsid w:val="000D55DE"/>
    <w:rsid w:val="000D6488"/>
    <w:rsid w:val="000D6A5C"/>
    <w:rsid w:val="000D6D30"/>
    <w:rsid w:val="000D6D83"/>
    <w:rsid w:val="000E00BA"/>
    <w:rsid w:val="000E0C84"/>
    <w:rsid w:val="000E0D5F"/>
    <w:rsid w:val="000E12DC"/>
    <w:rsid w:val="000E1EBF"/>
    <w:rsid w:val="000E235D"/>
    <w:rsid w:val="000E24D6"/>
    <w:rsid w:val="000E3A30"/>
    <w:rsid w:val="000E4034"/>
    <w:rsid w:val="000E4613"/>
    <w:rsid w:val="000E52CB"/>
    <w:rsid w:val="000E551A"/>
    <w:rsid w:val="000E5C6A"/>
    <w:rsid w:val="000E5E60"/>
    <w:rsid w:val="000E5F4E"/>
    <w:rsid w:val="000E72A7"/>
    <w:rsid w:val="000F032C"/>
    <w:rsid w:val="000F0ABA"/>
    <w:rsid w:val="000F1A49"/>
    <w:rsid w:val="000F1E63"/>
    <w:rsid w:val="000F1EA7"/>
    <w:rsid w:val="000F2816"/>
    <w:rsid w:val="000F3BD3"/>
    <w:rsid w:val="000F406E"/>
    <w:rsid w:val="000F414C"/>
    <w:rsid w:val="000F4B52"/>
    <w:rsid w:val="000F50B0"/>
    <w:rsid w:val="000F59F3"/>
    <w:rsid w:val="000F619F"/>
    <w:rsid w:val="000F656F"/>
    <w:rsid w:val="000F6825"/>
    <w:rsid w:val="000F70B4"/>
    <w:rsid w:val="000F736A"/>
    <w:rsid w:val="000F7E98"/>
    <w:rsid w:val="00100154"/>
    <w:rsid w:val="00101676"/>
    <w:rsid w:val="00101884"/>
    <w:rsid w:val="001019CC"/>
    <w:rsid w:val="00101F33"/>
    <w:rsid w:val="001021AB"/>
    <w:rsid w:val="00103067"/>
    <w:rsid w:val="001030B9"/>
    <w:rsid w:val="00104455"/>
    <w:rsid w:val="00105FF8"/>
    <w:rsid w:val="001060AA"/>
    <w:rsid w:val="001062A9"/>
    <w:rsid w:val="0010768E"/>
    <w:rsid w:val="0010791E"/>
    <w:rsid w:val="00107BAA"/>
    <w:rsid w:val="00110186"/>
    <w:rsid w:val="00110598"/>
    <w:rsid w:val="001106F7"/>
    <w:rsid w:val="001115FA"/>
    <w:rsid w:val="001119C4"/>
    <w:rsid w:val="00111DCB"/>
    <w:rsid w:val="00111EAD"/>
    <w:rsid w:val="00112B8A"/>
    <w:rsid w:val="00114FDC"/>
    <w:rsid w:val="00116601"/>
    <w:rsid w:val="0011747E"/>
    <w:rsid w:val="00117985"/>
    <w:rsid w:val="00117BFE"/>
    <w:rsid w:val="00120B3B"/>
    <w:rsid w:val="0012138A"/>
    <w:rsid w:val="00122B20"/>
    <w:rsid w:val="00123BFF"/>
    <w:rsid w:val="00125417"/>
    <w:rsid w:val="001255DE"/>
    <w:rsid w:val="0012613B"/>
    <w:rsid w:val="00126E93"/>
    <w:rsid w:val="00126EFE"/>
    <w:rsid w:val="001274B6"/>
    <w:rsid w:val="00130218"/>
    <w:rsid w:val="00130D28"/>
    <w:rsid w:val="00130E9D"/>
    <w:rsid w:val="00131705"/>
    <w:rsid w:val="00132788"/>
    <w:rsid w:val="001339C1"/>
    <w:rsid w:val="0013475A"/>
    <w:rsid w:val="00134943"/>
    <w:rsid w:val="00134A0D"/>
    <w:rsid w:val="00134D37"/>
    <w:rsid w:val="00134EFE"/>
    <w:rsid w:val="00135066"/>
    <w:rsid w:val="00135743"/>
    <w:rsid w:val="001357EA"/>
    <w:rsid w:val="00135ADB"/>
    <w:rsid w:val="00135D4A"/>
    <w:rsid w:val="00135EBC"/>
    <w:rsid w:val="0013738A"/>
    <w:rsid w:val="00140D08"/>
    <w:rsid w:val="001416F7"/>
    <w:rsid w:val="00141816"/>
    <w:rsid w:val="00143181"/>
    <w:rsid w:val="00143298"/>
    <w:rsid w:val="00143398"/>
    <w:rsid w:val="0014395C"/>
    <w:rsid w:val="00143FBC"/>
    <w:rsid w:val="00144BAF"/>
    <w:rsid w:val="00145063"/>
    <w:rsid w:val="00145764"/>
    <w:rsid w:val="001461D9"/>
    <w:rsid w:val="001467D1"/>
    <w:rsid w:val="00146A91"/>
    <w:rsid w:val="00147811"/>
    <w:rsid w:val="001500AE"/>
    <w:rsid w:val="001502E1"/>
    <w:rsid w:val="0015081A"/>
    <w:rsid w:val="00150BA6"/>
    <w:rsid w:val="00150C31"/>
    <w:rsid w:val="00151638"/>
    <w:rsid w:val="00151702"/>
    <w:rsid w:val="00151921"/>
    <w:rsid w:val="00151B09"/>
    <w:rsid w:val="0015208D"/>
    <w:rsid w:val="001520F5"/>
    <w:rsid w:val="00153353"/>
    <w:rsid w:val="001533B1"/>
    <w:rsid w:val="00153BCF"/>
    <w:rsid w:val="00153F13"/>
    <w:rsid w:val="00154110"/>
    <w:rsid w:val="00154504"/>
    <w:rsid w:val="001546DE"/>
    <w:rsid w:val="001550AB"/>
    <w:rsid w:val="00155358"/>
    <w:rsid w:val="0015592C"/>
    <w:rsid w:val="001574C2"/>
    <w:rsid w:val="001575BC"/>
    <w:rsid w:val="00157757"/>
    <w:rsid w:val="00157A04"/>
    <w:rsid w:val="0016012A"/>
    <w:rsid w:val="001615D1"/>
    <w:rsid w:val="00163BB2"/>
    <w:rsid w:val="0016418B"/>
    <w:rsid w:val="00164B40"/>
    <w:rsid w:val="00164BFC"/>
    <w:rsid w:val="00165772"/>
    <w:rsid w:val="0016659D"/>
    <w:rsid w:val="00167A41"/>
    <w:rsid w:val="00167C29"/>
    <w:rsid w:val="00167C84"/>
    <w:rsid w:val="00167D8B"/>
    <w:rsid w:val="001706A3"/>
    <w:rsid w:val="0017199B"/>
    <w:rsid w:val="00171ECC"/>
    <w:rsid w:val="001723B1"/>
    <w:rsid w:val="0017257F"/>
    <w:rsid w:val="00173289"/>
    <w:rsid w:val="00173687"/>
    <w:rsid w:val="0017397D"/>
    <w:rsid w:val="001748F7"/>
    <w:rsid w:val="001749D3"/>
    <w:rsid w:val="00176091"/>
    <w:rsid w:val="001762C7"/>
    <w:rsid w:val="00176773"/>
    <w:rsid w:val="00176E10"/>
    <w:rsid w:val="0017726D"/>
    <w:rsid w:val="001776CE"/>
    <w:rsid w:val="001778FF"/>
    <w:rsid w:val="00177B8C"/>
    <w:rsid w:val="0018028D"/>
    <w:rsid w:val="00180452"/>
    <w:rsid w:val="00180F03"/>
    <w:rsid w:val="00181591"/>
    <w:rsid w:val="0018184E"/>
    <w:rsid w:val="00183FA9"/>
    <w:rsid w:val="00184D70"/>
    <w:rsid w:val="00185110"/>
    <w:rsid w:val="00186059"/>
    <w:rsid w:val="00186207"/>
    <w:rsid w:val="001867E3"/>
    <w:rsid w:val="00186801"/>
    <w:rsid w:val="001868ED"/>
    <w:rsid w:val="00186C3B"/>
    <w:rsid w:val="00186D3D"/>
    <w:rsid w:val="001873DE"/>
    <w:rsid w:val="00187850"/>
    <w:rsid w:val="001879B3"/>
    <w:rsid w:val="0019011D"/>
    <w:rsid w:val="00190414"/>
    <w:rsid w:val="0019063A"/>
    <w:rsid w:val="00190B22"/>
    <w:rsid w:val="00190E3E"/>
    <w:rsid w:val="00191142"/>
    <w:rsid w:val="001920BA"/>
    <w:rsid w:val="00192A3F"/>
    <w:rsid w:val="00192F35"/>
    <w:rsid w:val="00193AAC"/>
    <w:rsid w:val="0019436D"/>
    <w:rsid w:val="00194EAB"/>
    <w:rsid w:val="00194EC4"/>
    <w:rsid w:val="0019501C"/>
    <w:rsid w:val="0019533D"/>
    <w:rsid w:val="00195AAF"/>
    <w:rsid w:val="0019622C"/>
    <w:rsid w:val="0019697A"/>
    <w:rsid w:val="00197051"/>
    <w:rsid w:val="001973DE"/>
    <w:rsid w:val="001978EF"/>
    <w:rsid w:val="001A14C7"/>
    <w:rsid w:val="001A26B5"/>
    <w:rsid w:val="001A2752"/>
    <w:rsid w:val="001A3370"/>
    <w:rsid w:val="001A39C3"/>
    <w:rsid w:val="001A4F21"/>
    <w:rsid w:val="001A55D0"/>
    <w:rsid w:val="001A5F06"/>
    <w:rsid w:val="001A5FCA"/>
    <w:rsid w:val="001A697B"/>
    <w:rsid w:val="001A6C91"/>
    <w:rsid w:val="001A6E70"/>
    <w:rsid w:val="001A7B08"/>
    <w:rsid w:val="001B0864"/>
    <w:rsid w:val="001B0886"/>
    <w:rsid w:val="001B0FEF"/>
    <w:rsid w:val="001B18A4"/>
    <w:rsid w:val="001B1B9B"/>
    <w:rsid w:val="001B1E20"/>
    <w:rsid w:val="001B20DC"/>
    <w:rsid w:val="001B2565"/>
    <w:rsid w:val="001B2653"/>
    <w:rsid w:val="001B2E71"/>
    <w:rsid w:val="001B33CE"/>
    <w:rsid w:val="001B34A8"/>
    <w:rsid w:val="001B426F"/>
    <w:rsid w:val="001B42BF"/>
    <w:rsid w:val="001B61A8"/>
    <w:rsid w:val="001B6476"/>
    <w:rsid w:val="001B653A"/>
    <w:rsid w:val="001B6932"/>
    <w:rsid w:val="001B69C7"/>
    <w:rsid w:val="001B6B74"/>
    <w:rsid w:val="001B7590"/>
    <w:rsid w:val="001B7B97"/>
    <w:rsid w:val="001C04B8"/>
    <w:rsid w:val="001C0525"/>
    <w:rsid w:val="001C0D1B"/>
    <w:rsid w:val="001C0DB6"/>
    <w:rsid w:val="001C11D2"/>
    <w:rsid w:val="001C165D"/>
    <w:rsid w:val="001C1E65"/>
    <w:rsid w:val="001C2309"/>
    <w:rsid w:val="001C33ED"/>
    <w:rsid w:val="001C371B"/>
    <w:rsid w:val="001C3B01"/>
    <w:rsid w:val="001C3C15"/>
    <w:rsid w:val="001C4BA9"/>
    <w:rsid w:val="001C4C41"/>
    <w:rsid w:val="001C5037"/>
    <w:rsid w:val="001C54FF"/>
    <w:rsid w:val="001C5FF5"/>
    <w:rsid w:val="001C69B9"/>
    <w:rsid w:val="001C6A0E"/>
    <w:rsid w:val="001C6ADD"/>
    <w:rsid w:val="001C6DE8"/>
    <w:rsid w:val="001C70F9"/>
    <w:rsid w:val="001C71E1"/>
    <w:rsid w:val="001C7257"/>
    <w:rsid w:val="001C77FA"/>
    <w:rsid w:val="001D009E"/>
    <w:rsid w:val="001D0241"/>
    <w:rsid w:val="001D02D5"/>
    <w:rsid w:val="001D0BC3"/>
    <w:rsid w:val="001D0C09"/>
    <w:rsid w:val="001D114A"/>
    <w:rsid w:val="001D1F0A"/>
    <w:rsid w:val="001D227E"/>
    <w:rsid w:val="001D2A04"/>
    <w:rsid w:val="001D2D54"/>
    <w:rsid w:val="001D31DC"/>
    <w:rsid w:val="001D3336"/>
    <w:rsid w:val="001D3716"/>
    <w:rsid w:val="001D3F56"/>
    <w:rsid w:val="001D4839"/>
    <w:rsid w:val="001D4ADB"/>
    <w:rsid w:val="001D4E53"/>
    <w:rsid w:val="001D4EF2"/>
    <w:rsid w:val="001D4F11"/>
    <w:rsid w:val="001D50E1"/>
    <w:rsid w:val="001D5781"/>
    <w:rsid w:val="001D671E"/>
    <w:rsid w:val="001D6728"/>
    <w:rsid w:val="001D68FD"/>
    <w:rsid w:val="001D6BB4"/>
    <w:rsid w:val="001D6BBA"/>
    <w:rsid w:val="001D6E7B"/>
    <w:rsid w:val="001D7F51"/>
    <w:rsid w:val="001E1161"/>
    <w:rsid w:val="001E14D9"/>
    <w:rsid w:val="001E1C91"/>
    <w:rsid w:val="001E378B"/>
    <w:rsid w:val="001E4365"/>
    <w:rsid w:val="001E4E40"/>
    <w:rsid w:val="001E4FFA"/>
    <w:rsid w:val="001E58D2"/>
    <w:rsid w:val="001E5C38"/>
    <w:rsid w:val="001E6052"/>
    <w:rsid w:val="001E73B9"/>
    <w:rsid w:val="001F015A"/>
    <w:rsid w:val="001F0AF2"/>
    <w:rsid w:val="001F134F"/>
    <w:rsid w:val="001F15FA"/>
    <w:rsid w:val="001F1AD9"/>
    <w:rsid w:val="001F1DB5"/>
    <w:rsid w:val="001F2038"/>
    <w:rsid w:val="001F2139"/>
    <w:rsid w:val="001F2188"/>
    <w:rsid w:val="001F2F16"/>
    <w:rsid w:val="001F337F"/>
    <w:rsid w:val="001F4525"/>
    <w:rsid w:val="001F473D"/>
    <w:rsid w:val="001F50B5"/>
    <w:rsid w:val="001F5BFF"/>
    <w:rsid w:val="001F6E8B"/>
    <w:rsid w:val="002007C3"/>
    <w:rsid w:val="002019FD"/>
    <w:rsid w:val="0020211C"/>
    <w:rsid w:val="002024B9"/>
    <w:rsid w:val="0020306D"/>
    <w:rsid w:val="00204771"/>
    <w:rsid w:val="002048E2"/>
    <w:rsid w:val="00204AF6"/>
    <w:rsid w:val="002061AF"/>
    <w:rsid w:val="00207DE6"/>
    <w:rsid w:val="002102D9"/>
    <w:rsid w:val="00211AC8"/>
    <w:rsid w:val="00211B70"/>
    <w:rsid w:val="00212007"/>
    <w:rsid w:val="00212251"/>
    <w:rsid w:val="002124B3"/>
    <w:rsid w:val="0021306D"/>
    <w:rsid w:val="002130CD"/>
    <w:rsid w:val="002133BC"/>
    <w:rsid w:val="00214123"/>
    <w:rsid w:val="002146A7"/>
    <w:rsid w:val="0021521B"/>
    <w:rsid w:val="00215233"/>
    <w:rsid w:val="00216408"/>
    <w:rsid w:val="0021681C"/>
    <w:rsid w:val="0021693A"/>
    <w:rsid w:val="00216ED0"/>
    <w:rsid w:val="0021742C"/>
    <w:rsid w:val="00217756"/>
    <w:rsid w:val="002205C2"/>
    <w:rsid w:val="0022062C"/>
    <w:rsid w:val="00221F6F"/>
    <w:rsid w:val="0022326F"/>
    <w:rsid w:val="002240F8"/>
    <w:rsid w:val="0022433B"/>
    <w:rsid w:val="00224A80"/>
    <w:rsid w:val="0022506F"/>
    <w:rsid w:val="002250A2"/>
    <w:rsid w:val="0022547E"/>
    <w:rsid w:val="0022556D"/>
    <w:rsid w:val="0022573B"/>
    <w:rsid w:val="00225C3C"/>
    <w:rsid w:val="00226B3C"/>
    <w:rsid w:val="00226BE3"/>
    <w:rsid w:val="002270F9"/>
    <w:rsid w:val="0022787A"/>
    <w:rsid w:val="00227DA1"/>
    <w:rsid w:val="002301EE"/>
    <w:rsid w:val="00230236"/>
    <w:rsid w:val="00230AA8"/>
    <w:rsid w:val="002313C8"/>
    <w:rsid w:val="00232A3E"/>
    <w:rsid w:val="00232DB6"/>
    <w:rsid w:val="00233445"/>
    <w:rsid w:val="00233467"/>
    <w:rsid w:val="002335D1"/>
    <w:rsid w:val="00233927"/>
    <w:rsid w:val="002339D6"/>
    <w:rsid w:val="00233F0D"/>
    <w:rsid w:val="002369AE"/>
    <w:rsid w:val="00236A6F"/>
    <w:rsid w:val="00236B5E"/>
    <w:rsid w:val="00236B8B"/>
    <w:rsid w:val="00236FBD"/>
    <w:rsid w:val="0023712E"/>
    <w:rsid w:val="0023776F"/>
    <w:rsid w:val="00237EED"/>
    <w:rsid w:val="00240404"/>
    <w:rsid w:val="002412A4"/>
    <w:rsid w:val="0024249E"/>
    <w:rsid w:val="002426DA"/>
    <w:rsid w:val="00242DE2"/>
    <w:rsid w:val="0024347C"/>
    <w:rsid w:val="00243ED1"/>
    <w:rsid w:val="00243FDB"/>
    <w:rsid w:val="002440D1"/>
    <w:rsid w:val="00244649"/>
    <w:rsid w:val="002448F1"/>
    <w:rsid w:val="0024509E"/>
    <w:rsid w:val="002450B0"/>
    <w:rsid w:val="002450F6"/>
    <w:rsid w:val="00245643"/>
    <w:rsid w:val="00245796"/>
    <w:rsid w:val="00246559"/>
    <w:rsid w:val="00246F54"/>
    <w:rsid w:val="00247518"/>
    <w:rsid w:val="00247673"/>
    <w:rsid w:val="002479C9"/>
    <w:rsid w:val="00247B31"/>
    <w:rsid w:val="00247BAD"/>
    <w:rsid w:val="0025039A"/>
    <w:rsid w:val="002503A8"/>
    <w:rsid w:val="002503F6"/>
    <w:rsid w:val="00250433"/>
    <w:rsid w:val="00250E8F"/>
    <w:rsid w:val="00251F6C"/>
    <w:rsid w:val="0025236F"/>
    <w:rsid w:val="002523D6"/>
    <w:rsid w:val="0025288E"/>
    <w:rsid w:val="00252E55"/>
    <w:rsid w:val="0025428C"/>
    <w:rsid w:val="00254410"/>
    <w:rsid w:val="002556CE"/>
    <w:rsid w:val="002564FF"/>
    <w:rsid w:val="00256739"/>
    <w:rsid w:val="00256E84"/>
    <w:rsid w:val="00257021"/>
    <w:rsid w:val="00257BB0"/>
    <w:rsid w:val="00257D74"/>
    <w:rsid w:val="002600D3"/>
    <w:rsid w:val="00260333"/>
    <w:rsid w:val="00260451"/>
    <w:rsid w:val="0026059A"/>
    <w:rsid w:val="00260838"/>
    <w:rsid w:val="00260C51"/>
    <w:rsid w:val="00260D85"/>
    <w:rsid w:val="00260F0B"/>
    <w:rsid w:val="00260F32"/>
    <w:rsid w:val="00260F33"/>
    <w:rsid w:val="0026103D"/>
    <w:rsid w:val="00261869"/>
    <w:rsid w:val="00261934"/>
    <w:rsid w:val="00261AFC"/>
    <w:rsid w:val="00261BAA"/>
    <w:rsid w:val="00261E41"/>
    <w:rsid w:val="002624BB"/>
    <w:rsid w:val="00262549"/>
    <w:rsid w:val="00262B9C"/>
    <w:rsid w:val="00262C7D"/>
    <w:rsid w:val="002631CE"/>
    <w:rsid w:val="002634D6"/>
    <w:rsid w:val="00263744"/>
    <w:rsid w:val="0026466B"/>
    <w:rsid w:val="00264D24"/>
    <w:rsid w:val="00264DCF"/>
    <w:rsid w:val="00266BAA"/>
    <w:rsid w:val="00266D16"/>
    <w:rsid w:val="002675E1"/>
    <w:rsid w:val="002676A3"/>
    <w:rsid w:val="00267A74"/>
    <w:rsid w:val="00267C4F"/>
    <w:rsid w:val="00270290"/>
    <w:rsid w:val="002704CF"/>
    <w:rsid w:val="002709A7"/>
    <w:rsid w:val="00271AFB"/>
    <w:rsid w:val="00272F1E"/>
    <w:rsid w:val="00273385"/>
    <w:rsid w:val="00273482"/>
    <w:rsid w:val="00273E93"/>
    <w:rsid w:val="002740A7"/>
    <w:rsid w:val="002741BA"/>
    <w:rsid w:val="00274491"/>
    <w:rsid w:val="00274864"/>
    <w:rsid w:val="002748DB"/>
    <w:rsid w:val="002758CC"/>
    <w:rsid w:val="00275B9E"/>
    <w:rsid w:val="00277339"/>
    <w:rsid w:val="0027798D"/>
    <w:rsid w:val="0028034E"/>
    <w:rsid w:val="002806D3"/>
    <w:rsid w:val="00281E52"/>
    <w:rsid w:val="002822E0"/>
    <w:rsid w:val="0028262D"/>
    <w:rsid w:val="00282911"/>
    <w:rsid w:val="002835A5"/>
    <w:rsid w:val="00284437"/>
    <w:rsid w:val="0028448D"/>
    <w:rsid w:val="00284B14"/>
    <w:rsid w:val="00285E9D"/>
    <w:rsid w:val="00286229"/>
    <w:rsid w:val="00286604"/>
    <w:rsid w:val="00290B96"/>
    <w:rsid w:val="00290C6C"/>
    <w:rsid w:val="00290F75"/>
    <w:rsid w:val="002911E3"/>
    <w:rsid w:val="002919DF"/>
    <w:rsid w:val="0029249F"/>
    <w:rsid w:val="00292546"/>
    <w:rsid w:val="00294513"/>
    <w:rsid w:val="00294D0D"/>
    <w:rsid w:val="0029564D"/>
    <w:rsid w:val="0029706D"/>
    <w:rsid w:val="002972DE"/>
    <w:rsid w:val="00297C47"/>
    <w:rsid w:val="002A01D5"/>
    <w:rsid w:val="002A1424"/>
    <w:rsid w:val="002A16FC"/>
    <w:rsid w:val="002A17DC"/>
    <w:rsid w:val="002A1B92"/>
    <w:rsid w:val="002A22CB"/>
    <w:rsid w:val="002A25D0"/>
    <w:rsid w:val="002A3EAF"/>
    <w:rsid w:val="002A4016"/>
    <w:rsid w:val="002A4E92"/>
    <w:rsid w:val="002A5646"/>
    <w:rsid w:val="002A5751"/>
    <w:rsid w:val="002A5C87"/>
    <w:rsid w:val="002A5E06"/>
    <w:rsid w:val="002A7179"/>
    <w:rsid w:val="002A7842"/>
    <w:rsid w:val="002B0109"/>
    <w:rsid w:val="002B09B2"/>
    <w:rsid w:val="002B1A34"/>
    <w:rsid w:val="002B1E7F"/>
    <w:rsid w:val="002B2823"/>
    <w:rsid w:val="002B2825"/>
    <w:rsid w:val="002B2A38"/>
    <w:rsid w:val="002B4025"/>
    <w:rsid w:val="002B415F"/>
    <w:rsid w:val="002B43E6"/>
    <w:rsid w:val="002B48EF"/>
    <w:rsid w:val="002B5103"/>
    <w:rsid w:val="002B54E6"/>
    <w:rsid w:val="002B61A7"/>
    <w:rsid w:val="002B6431"/>
    <w:rsid w:val="002B647D"/>
    <w:rsid w:val="002C253F"/>
    <w:rsid w:val="002C2F1A"/>
    <w:rsid w:val="002C35EA"/>
    <w:rsid w:val="002C3C65"/>
    <w:rsid w:val="002C5809"/>
    <w:rsid w:val="002C627C"/>
    <w:rsid w:val="002C6AA6"/>
    <w:rsid w:val="002C6D14"/>
    <w:rsid w:val="002C6D5F"/>
    <w:rsid w:val="002C740E"/>
    <w:rsid w:val="002C7516"/>
    <w:rsid w:val="002C79CC"/>
    <w:rsid w:val="002C7BA5"/>
    <w:rsid w:val="002D01B4"/>
    <w:rsid w:val="002D0A8A"/>
    <w:rsid w:val="002D1735"/>
    <w:rsid w:val="002D1773"/>
    <w:rsid w:val="002D2118"/>
    <w:rsid w:val="002D2A9F"/>
    <w:rsid w:val="002D2D4D"/>
    <w:rsid w:val="002D311B"/>
    <w:rsid w:val="002D33AE"/>
    <w:rsid w:val="002D35AA"/>
    <w:rsid w:val="002D363F"/>
    <w:rsid w:val="002D3F01"/>
    <w:rsid w:val="002D402D"/>
    <w:rsid w:val="002D4798"/>
    <w:rsid w:val="002D5BDD"/>
    <w:rsid w:val="002D5D02"/>
    <w:rsid w:val="002D5E3D"/>
    <w:rsid w:val="002D5F2B"/>
    <w:rsid w:val="002D5F35"/>
    <w:rsid w:val="002D61A2"/>
    <w:rsid w:val="002D634C"/>
    <w:rsid w:val="002D6E76"/>
    <w:rsid w:val="002D71D6"/>
    <w:rsid w:val="002D7304"/>
    <w:rsid w:val="002D73FB"/>
    <w:rsid w:val="002D74F5"/>
    <w:rsid w:val="002D7B44"/>
    <w:rsid w:val="002D7BB1"/>
    <w:rsid w:val="002D7D79"/>
    <w:rsid w:val="002E007F"/>
    <w:rsid w:val="002E043D"/>
    <w:rsid w:val="002E1635"/>
    <w:rsid w:val="002E1746"/>
    <w:rsid w:val="002E17A9"/>
    <w:rsid w:val="002E22C5"/>
    <w:rsid w:val="002E2747"/>
    <w:rsid w:val="002E3A20"/>
    <w:rsid w:val="002E3FC0"/>
    <w:rsid w:val="002E46EE"/>
    <w:rsid w:val="002E4BB2"/>
    <w:rsid w:val="002E5066"/>
    <w:rsid w:val="002E5607"/>
    <w:rsid w:val="002E5B2F"/>
    <w:rsid w:val="002E7209"/>
    <w:rsid w:val="002E75A8"/>
    <w:rsid w:val="002E7F2D"/>
    <w:rsid w:val="002F0040"/>
    <w:rsid w:val="002F01C2"/>
    <w:rsid w:val="002F05F4"/>
    <w:rsid w:val="002F0786"/>
    <w:rsid w:val="002F0B82"/>
    <w:rsid w:val="002F1B38"/>
    <w:rsid w:val="002F2DED"/>
    <w:rsid w:val="002F2E05"/>
    <w:rsid w:val="002F3613"/>
    <w:rsid w:val="002F3905"/>
    <w:rsid w:val="002F3C30"/>
    <w:rsid w:val="002F3E28"/>
    <w:rsid w:val="002F4A6C"/>
    <w:rsid w:val="002F4D0D"/>
    <w:rsid w:val="002F4DBD"/>
    <w:rsid w:val="002F4E56"/>
    <w:rsid w:val="002F4F4B"/>
    <w:rsid w:val="002F5722"/>
    <w:rsid w:val="002F60F1"/>
    <w:rsid w:val="002F6E6F"/>
    <w:rsid w:val="002F71BB"/>
    <w:rsid w:val="002F766D"/>
    <w:rsid w:val="0030064B"/>
    <w:rsid w:val="00300876"/>
    <w:rsid w:val="00300C35"/>
    <w:rsid w:val="00300F0E"/>
    <w:rsid w:val="00301347"/>
    <w:rsid w:val="0030198E"/>
    <w:rsid w:val="00301A20"/>
    <w:rsid w:val="00302344"/>
    <w:rsid w:val="003030A7"/>
    <w:rsid w:val="003032BC"/>
    <w:rsid w:val="0030395C"/>
    <w:rsid w:val="00303E8C"/>
    <w:rsid w:val="003040D3"/>
    <w:rsid w:val="003044C9"/>
    <w:rsid w:val="003048D6"/>
    <w:rsid w:val="0030492C"/>
    <w:rsid w:val="00304A02"/>
    <w:rsid w:val="003054A7"/>
    <w:rsid w:val="00305522"/>
    <w:rsid w:val="003063BD"/>
    <w:rsid w:val="003065FC"/>
    <w:rsid w:val="003069FC"/>
    <w:rsid w:val="00306D1A"/>
    <w:rsid w:val="003072D1"/>
    <w:rsid w:val="00307816"/>
    <w:rsid w:val="00307926"/>
    <w:rsid w:val="00307EFA"/>
    <w:rsid w:val="00311FC0"/>
    <w:rsid w:val="003125DB"/>
    <w:rsid w:val="00312D19"/>
    <w:rsid w:val="00313D30"/>
    <w:rsid w:val="00314139"/>
    <w:rsid w:val="00314348"/>
    <w:rsid w:val="00314742"/>
    <w:rsid w:val="00314E27"/>
    <w:rsid w:val="003154EB"/>
    <w:rsid w:val="00315514"/>
    <w:rsid w:val="00315862"/>
    <w:rsid w:val="00315C89"/>
    <w:rsid w:val="00317095"/>
    <w:rsid w:val="003172AF"/>
    <w:rsid w:val="00317953"/>
    <w:rsid w:val="0031798F"/>
    <w:rsid w:val="00317999"/>
    <w:rsid w:val="00320977"/>
    <w:rsid w:val="00320A3C"/>
    <w:rsid w:val="00320B6E"/>
    <w:rsid w:val="00320D18"/>
    <w:rsid w:val="003215BA"/>
    <w:rsid w:val="00321C2A"/>
    <w:rsid w:val="00321CD3"/>
    <w:rsid w:val="00321F92"/>
    <w:rsid w:val="0032296A"/>
    <w:rsid w:val="00322EFB"/>
    <w:rsid w:val="00322F95"/>
    <w:rsid w:val="003232AA"/>
    <w:rsid w:val="003233E4"/>
    <w:rsid w:val="00323881"/>
    <w:rsid w:val="00323C3B"/>
    <w:rsid w:val="00324A9F"/>
    <w:rsid w:val="00324B81"/>
    <w:rsid w:val="00324E06"/>
    <w:rsid w:val="003255F7"/>
    <w:rsid w:val="00325763"/>
    <w:rsid w:val="00325A8C"/>
    <w:rsid w:val="00325E2F"/>
    <w:rsid w:val="0032612A"/>
    <w:rsid w:val="0032680E"/>
    <w:rsid w:val="00326958"/>
    <w:rsid w:val="00326BC2"/>
    <w:rsid w:val="0032709B"/>
    <w:rsid w:val="00327F84"/>
    <w:rsid w:val="003309EF"/>
    <w:rsid w:val="0033104B"/>
    <w:rsid w:val="00331684"/>
    <w:rsid w:val="00331905"/>
    <w:rsid w:val="003322D0"/>
    <w:rsid w:val="003323BA"/>
    <w:rsid w:val="00332543"/>
    <w:rsid w:val="003326E9"/>
    <w:rsid w:val="003328FA"/>
    <w:rsid w:val="00332970"/>
    <w:rsid w:val="00332D66"/>
    <w:rsid w:val="00332D6A"/>
    <w:rsid w:val="003346B4"/>
    <w:rsid w:val="00334731"/>
    <w:rsid w:val="003351FC"/>
    <w:rsid w:val="0033563A"/>
    <w:rsid w:val="00335B18"/>
    <w:rsid w:val="00336543"/>
    <w:rsid w:val="003372F4"/>
    <w:rsid w:val="00337DBA"/>
    <w:rsid w:val="00337F41"/>
    <w:rsid w:val="0034067B"/>
    <w:rsid w:val="00340DF4"/>
    <w:rsid w:val="0034103E"/>
    <w:rsid w:val="00341236"/>
    <w:rsid w:val="00341983"/>
    <w:rsid w:val="00341D27"/>
    <w:rsid w:val="00342B5C"/>
    <w:rsid w:val="00343CDB"/>
    <w:rsid w:val="00344545"/>
    <w:rsid w:val="00344B79"/>
    <w:rsid w:val="00345325"/>
    <w:rsid w:val="0034540A"/>
    <w:rsid w:val="00345B4B"/>
    <w:rsid w:val="00345E52"/>
    <w:rsid w:val="00346072"/>
    <w:rsid w:val="00346133"/>
    <w:rsid w:val="00346318"/>
    <w:rsid w:val="00346524"/>
    <w:rsid w:val="00346799"/>
    <w:rsid w:val="003476EA"/>
    <w:rsid w:val="00347795"/>
    <w:rsid w:val="0035205E"/>
    <w:rsid w:val="00352720"/>
    <w:rsid w:val="00352E04"/>
    <w:rsid w:val="003538EA"/>
    <w:rsid w:val="003556FF"/>
    <w:rsid w:val="00355AFF"/>
    <w:rsid w:val="00356B3E"/>
    <w:rsid w:val="00356D5A"/>
    <w:rsid w:val="003574A9"/>
    <w:rsid w:val="0036019C"/>
    <w:rsid w:val="0036084B"/>
    <w:rsid w:val="00360C12"/>
    <w:rsid w:val="00360D2C"/>
    <w:rsid w:val="00361281"/>
    <w:rsid w:val="00362306"/>
    <w:rsid w:val="003624E3"/>
    <w:rsid w:val="003632A9"/>
    <w:rsid w:val="003635FB"/>
    <w:rsid w:val="00363A11"/>
    <w:rsid w:val="00363F1C"/>
    <w:rsid w:val="00363F59"/>
    <w:rsid w:val="00365252"/>
    <w:rsid w:val="0036538A"/>
    <w:rsid w:val="00365DB1"/>
    <w:rsid w:val="003668B1"/>
    <w:rsid w:val="00366DCD"/>
    <w:rsid w:val="00367EB7"/>
    <w:rsid w:val="00371102"/>
    <w:rsid w:val="003716CB"/>
    <w:rsid w:val="00371C95"/>
    <w:rsid w:val="00371CEB"/>
    <w:rsid w:val="00372259"/>
    <w:rsid w:val="0037330A"/>
    <w:rsid w:val="00373334"/>
    <w:rsid w:val="003750A4"/>
    <w:rsid w:val="00375446"/>
    <w:rsid w:val="00375CCD"/>
    <w:rsid w:val="003764E7"/>
    <w:rsid w:val="00376AA2"/>
    <w:rsid w:val="00377390"/>
    <w:rsid w:val="003805CA"/>
    <w:rsid w:val="00380705"/>
    <w:rsid w:val="0038111B"/>
    <w:rsid w:val="0038146D"/>
    <w:rsid w:val="0038194F"/>
    <w:rsid w:val="00381E9C"/>
    <w:rsid w:val="00382416"/>
    <w:rsid w:val="00382C88"/>
    <w:rsid w:val="003841CA"/>
    <w:rsid w:val="00384583"/>
    <w:rsid w:val="00384A8A"/>
    <w:rsid w:val="00385127"/>
    <w:rsid w:val="003856C9"/>
    <w:rsid w:val="00385CF0"/>
    <w:rsid w:val="00386379"/>
    <w:rsid w:val="00386E5C"/>
    <w:rsid w:val="003900B8"/>
    <w:rsid w:val="00390B06"/>
    <w:rsid w:val="00390FB3"/>
    <w:rsid w:val="00392658"/>
    <w:rsid w:val="00392D2C"/>
    <w:rsid w:val="003936C1"/>
    <w:rsid w:val="0039406E"/>
    <w:rsid w:val="0039410F"/>
    <w:rsid w:val="0039424B"/>
    <w:rsid w:val="003949AF"/>
    <w:rsid w:val="00394E0A"/>
    <w:rsid w:val="00394FEA"/>
    <w:rsid w:val="003A0205"/>
    <w:rsid w:val="003A06F8"/>
    <w:rsid w:val="003A0958"/>
    <w:rsid w:val="003A0D20"/>
    <w:rsid w:val="003A1228"/>
    <w:rsid w:val="003A172C"/>
    <w:rsid w:val="003A1E14"/>
    <w:rsid w:val="003A236C"/>
    <w:rsid w:val="003A2DBB"/>
    <w:rsid w:val="003A4238"/>
    <w:rsid w:val="003A5358"/>
    <w:rsid w:val="003A55B2"/>
    <w:rsid w:val="003A5632"/>
    <w:rsid w:val="003A5CD9"/>
    <w:rsid w:val="003A5FF2"/>
    <w:rsid w:val="003A652E"/>
    <w:rsid w:val="003A72DF"/>
    <w:rsid w:val="003A7B5E"/>
    <w:rsid w:val="003B07AC"/>
    <w:rsid w:val="003B1C35"/>
    <w:rsid w:val="003B267B"/>
    <w:rsid w:val="003B2E2D"/>
    <w:rsid w:val="003B3969"/>
    <w:rsid w:val="003B3F5F"/>
    <w:rsid w:val="003B41BB"/>
    <w:rsid w:val="003B4482"/>
    <w:rsid w:val="003B4D6F"/>
    <w:rsid w:val="003B51F2"/>
    <w:rsid w:val="003B530E"/>
    <w:rsid w:val="003B56E9"/>
    <w:rsid w:val="003B5773"/>
    <w:rsid w:val="003B5A2A"/>
    <w:rsid w:val="003B6209"/>
    <w:rsid w:val="003B6571"/>
    <w:rsid w:val="003B6623"/>
    <w:rsid w:val="003B66EB"/>
    <w:rsid w:val="003B6ED2"/>
    <w:rsid w:val="003B6F1B"/>
    <w:rsid w:val="003B7177"/>
    <w:rsid w:val="003B77E7"/>
    <w:rsid w:val="003B7AD9"/>
    <w:rsid w:val="003C047A"/>
    <w:rsid w:val="003C1270"/>
    <w:rsid w:val="003C26CF"/>
    <w:rsid w:val="003C278E"/>
    <w:rsid w:val="003C2849"/>
    <w:rsid w:val="003C2D09"/>
    <w:rsid w:val="003C2FD0"/>
    <w:rsid w:val="003C35CC"/>
    <w:rsid w:val="003C3EE2"/>
    <w:rsid w:val="003C3FE7"/>
    <w:rsid w:val="003C4BF6"/>
    <w:rsid w:val="003C5195"/>
    <w:rsid w:val="003C56D8"/>
    <w:rsid w:val="003C5E33"/>
    <w:rsid w:val="003C60A6"/>
    <w:rsid w:val="003C60EB"/>
    <w:rsid w:val="003C6959"/>
    <w:rsid w:val="003C6BE7"/>
    <w:rsid w:val="003C6D53"/>
    <w:rsid w:val="003C70B1"/>
    <w:rsid w:val="003C773D"/>
    <w:rsid w:val="003C7A54"/>
    <w:rsid w:val="003C7FBD"/>
    <w:rsid w:val="003D0FB7"/>
    <w:rsid w:val="003D118C"/>
    <w:rsid w:val="003D126A"/>
    <w:rsid w:val="003D1AA9"/>
    <w:rsid w:val="003D1BDE"/>
    <w:rsid w:val="003D1E19"/>
    <w:rsid w:val="003D207F"/>
    <w:rsid w:val="003D2508"/>
    <w:rsid w:val="003D2B54"/>
    <w:rsid w:val="003D2BDE"/>
    <w:rsid w:val="003D2F80"/>
    <w:rsid w:val="003D35BA"/>
    <w:rsid w:val="003D35D0"/>
    <w:rsid w:val="003D3613"/>
    <w:rsid w:val="003D3643"/>
    <w:rsid w:val="003D3898"/>
    <w:rsid w:val="003D38AC"/>
    <w:rsid w:val="003D443C"/>
    <w:rsid w:val="003D4B0F"/>
    <w:rsid w:val="003D4D2C"/>
    <w:rsid w:val="003D5F96"/>
    <w:rsid w:val="003D5FB2"/>
    <w:rsid w:val="003D5FD5"/>
    <w:rsid w:val="003D6126"/>
    <w:rsid w:val="003D6131"/>
    <w:rsid w:val="003D729C"/>
    <w:rsid w:val="003D776C"/>
    <w:rsid w:val="003D7C7D"/>
    <w:rsid w:val="003E09E6"/>
    <w:rsid w:val="003E0F25"/>
    <w:rsid w:val="003E1039"/>
    <w:rsid w:val="003E1325"/>
    <w:rsid w:val="003E1586"/>
    <w:rsid w:val="003E1CD8"/>
    <w:rsid w:val="003E2084"/>
    <w:rsid w:val="003E27EB"/>
    <w:rsid w:val="003E30C7"/>
    <w:rsid w:val="003E36C9"/>
    <w:rsid w:val="003E434B"/>
    <w:rsid w:val="003E475A"/>
    <w:rsid w:val="003E4C48"/>
    <w:rsid w:val="003E4F19"/>
    <w:rsid w:val="003E4F9F"/>
    <w:rsid w:val="003E59C6"/>
    <w:rsid w:val="003E6184"/>
    <w:rsid w:val="003E6E2E"/>
    <w:rsid w:val="003E7301"/>
    <w:rsid w:val="003F0F28"/>
    <w:rsid w:val="003F15B3"/>
    <w:rsid w:val="003F2A38"/>
    <w:rsid w:val="003F2A88"/>
    <w:rsid w:val="003F2B35"/>
    <w:rsid w:val="003F2C34"/>
    <w:rsid w:val="003F2D33"/>
    <w:rsid w:val="003F2ED3"/>
    <w:rsid w:val="003F3564"/>
    <w:rsid w:val="003F4323"/>
    <w:rsid w:val="003F46E3"/>
    <w:rsid w:val="003F5046"/>
    <w:rsid w:val="003F5F34"/>
    <w:rsid w:val="003F62DC"/>
    <w:rsid w:val="003F63A9"/>
    <w:rsid w:val="003F6411"/>
    <w:rsid w:val="003F6506"/>
    <w:rsid w:val="003F687B"/>
    <w:rsid w:val="003F6C27"/>
    <w:rsid w:val="003F6DCB"/>
    <w:rsid w:val="003F789F"/>
    <w:rsid w:val="003F7C7F"/>
    <w:rsid w:val="003F7FB3"/>
    <w:rsid w:val="004009B4"/>
    <w:rsid w:val="00400BDA"/>
    <w:rsid w:val="004013AF"/>
    <w:rsid w:val="00402369"/>
    <w:rsid w:val="00403B7E"/>
    <w:rsid w:val="00404287"/>
    <w:rsid w:val="00404C36"/>
    <w:rsid w:val="0040523B"/>
    <w:rsid w:val="00405643"/>
    <w:rsid w:val="00405872"/>
    <w:rsid w:val="00406217"/>
    <w:rsid w:val="00406255"/>
    <w:rsid w:val="004063F6"/>
    <w:rsid w:val="004068FF"/>
    <w:rsid w:val="0040704A"/>
    <w:rsid w:val="004104B0"/>
    <w:rsid w:val="004113E9"/>
    <w:rsid w:val="00411A94"/>
    <w:rsid w:val="00412166"/>
    <w:rsid w:val="00413894"/>
    <w:rsid w:val="00413C10"/>
    <w:rsid w:val="00413CDD"/>
    <w:rsid w:val="00413E37"/>
    <w:rsid w:val="004143E2"/>
    <w:rsid w:val="0041478C"/>
    <w:rsid w:val="00415BF0"/>
    <w:rsid w:val="00417458"/>
    <w:rsid w:val="00417474"/>
    <w:rsid w:val="00420D1F"/>
    <w:rsid w:val="00421078"/>
    <w:rsid w:val="004211E7"/>
    <w:rsid w:val="004211FC"/>
    <w:rsid w:val="004212C1"/>
    <w:rsid w:val="00421C9E"/>
    <w:rsid w:val="0042231D"/>
    <w:rsid w:val="00422648"/>
    <w:rsid w:val="00422866"/>
    <w:rsid w:val="004233D2"/>
    <w:rsid w:val="00423623"/>
    <w:rsid w:val="004239E0"/>
    <w:rsid w:val="00424099"/>
    <w:rsid w:val="004240D2"/>
    <w:rsid w:val="00424231"/>
    <w:rsid w:val="0042446A"/>
    <w:rsid w:val="00424B4F"/>
    <w:rsid w:val="00424C07"/>
    <w:rsid w:val="0042501D"/>
    <w:rsid w:val="004255A9"/>
    <w:rsid w:val="00425BBF"/>
    <w:rsid w:val="004274D0"/>
    <w:rsid w:val="00430403"/>
    <w:rsid w:val="00431002"/>
    <w:rsid w:val="004313C8"/>
    <w:rsid w:val="004314E2"/>
    <w:rsid w:val="00431BBA"/>
    <w:rsid w:val="00431CB8"/>
    <w:rsid w:val="00431DF7"/>
    <w:rsid w:val="00432856"/>
    <w:rsid w:val="004329A9"/>
    <w:rsid w:val="00432B55"/>
    <w:rsid w:val="00432D34"/>
    <w:rsid w:val="00433871"/>
    <w:rsid w:val="00434B7B"/>
    <w:rsid w:val="00434E05"/>
    <w:rsid w:val="00435DF4"/>
    <w:rsid w:val="00435E79"/>
    <w:rsid w:val="00436A1E"/>
    <w:rsid w:val="00436D54"/>
    <w:rsid w:val="00437317"/>
    <w:rsid w:val="00437D43"/>
    <w:rsid w:val="00440002"/>
    <w:rsid w:val="00440872"/>
    <w:rsid w:val="004408A5"/>
    <w:rsid w:val="004414E0"/>
    <w:rsid w:val="00441F55"/>
    <w:rsid w:val="00442214"/>
    <w:rsid w:val="00442843"/>
    <w:rsid w:val="004428E5"/>
    <w:rsid w:val="00442E74"/>
    <w:rsid w:val="00442F4F"/>
    <w:rsid w:val="004435A6"/>
    <w:rsid w:val="004437C6"/>
    <w:rsid w:val="00443955"/>
    <w:rsid w:val="00444436"/>
    <w:rsid w:val="00444947"/>
    <w:rsid w:val="00445399"/>
    <w:rsid w:val="004456A0"/>
    <w:rsid w:val="0044769A"/>
    <w:rsid w:val="004479D6"/>
    <w:rsid w:val="00447D35"/>
    <w:rsid w:val="0045007F"/>
    <w:rsid w:val="0045084B"/>
    <w:rsid w:val="00450E03"/>
    <w:rsid w:val="004516F5"/>
    <w:rsid w:val="004518FF"/>
    <w:rsid w:val="004519C0"/>
    <w:rsid w:val="004528B3"/>
    <w:rsid w:val="0045300F"/>
    <w:rsid w:val="00454C01"/>
    <w:rsid w:val="00454C7A"/>
    <w:rsid w:val="0045508C"/>
    <w:rsid w:val="00455386"/>
    <w:rsid w:val="004555E1"/>
    <w:rsid w:val="00455794"/>
    <w:rsid w:val="0045579C"/>
    <w:rsid w:val="00455DA8"/>
    <w:rsid w:val="00456351"/>
    <w:rsid w:val="00457155"/>
    <w:rsid w:val="004575C2"/>
    <w:rsid w:val="0046034D"/>
    <w:rsid w:val="0046058F"/>
    <w:rsid w:val="00460E97"/>
    <w:rsid w:val="00462FB8"/>
    <w:rsid w:val="00464792"/>
    <w:rsid w:val="004648B0"/>
    <w:rsid w:val="00464B8E"/>
    <w:rsid w:val="00464C79"/>
    <w:rsid w:val="004652A2"/>
    <w:rsid w:val="004653D2"/>
    <w:rsid w:val="0046560C"/>
    <w:rsid w:val="00465A21"/>
    <w:rsid w:val="00467021"/>
    <w:rsid w:val="004672CB"/>
    <w:rsid w:val="00467E3A"/>
    <w:rsid w:val="00467E4B"/>
    <w:rsid w:val="004705AE"/>
    <w:rsid w:val="004707AA"/>
    <w:rsid w:val="00470A03"/>
    <w:rsid w:val="00470A83"/>
    <w:rsid w:val="00470C51"/>
    <w:rsid w:val="004713D7"/>
    <w:rsid w:val="00471873"/>
    <w:rsid w:val="00471D95"/>
    <w:rsid w:val="00472077"/>
    <w:rsid w:val="004722A8"/>
    <w:rsid w:val="00472791"/>
    <w:rsid w:val="004729E1"/>
    <w:rsid w:val="00472A8E"/>
    <w:rsid w:val="0047370B"/>
    <w:rsid w:val="00473819"/>
    <w:rsid w:val="00474C90"/>
    <w:rsid w:val="004750C5"/>
    <w:rsid w:val="00476592"/>
    <w:rsid w:val="00476E2B"/>
    <w:rsid w:val="00476EF4"/>
    <w:rsid w:val="00476EF6"/>
    <w:rsid w:val="00477608"/>
    <w:rsid w:val="004800AB"/>
    <w:rsid w:val="00480141"/>
    <w:rsid w:val="004809BB"/>
    <w:rsid w:val="00480A55"/>
    <w:rsid w:val="00480E5C"/>
    <w:rsid w:val="00480F1D"/>
    <w:rsid w:val="004812E1"/>
    <w:rsid w:val="00481CEC"/>
    <w:rsid w:val="00482EBF"/>
    <w:rsid w:val="00482F2E"/>
    <w:rsid w:val="0048336C"/>
    <w:rsid w:val="00483669"/>
    <w:rsid w:val="00483B6A"/>
    <w:rsid w:val="00483BBB"/>
    <w:rsid w:val="004842D4"/>
    <w:rsid w:val="00484A77"/>
    <w:rsid w:val="00485487"/>
    <w:rsid w:val="00485699"/>
    <w:rsid w:val="00485861"/>
    <w:rsid w:val="00485BDD"/>
    <w:rsid w:val="004863C0"/>
    <w:rsid w:val="004867EA"/>
    <w:rsid w:val="004867EE"/>
    <w:rsid w:val="00486ABE"/>
    <w:rsid w:val="00486B0B"/>
    <w:rsid w:val="00486FEC"/>
    <w:rsid w:val="00490B52"/>
    <w:rsid w:val="0049168B"/>
    <w:rsid w:val="00491A85"/>
    <w:rsid w:val="00492197"/>
    <w:rsid w:val="004928B5"/>
    <w:rsid w:val="0049365A"/>
    <w:rsid w:val="004942CA"/>
    <w:rsid w:val="00494785"/>
    <w:rsid w:val="0049531E"/>
    <w:rsid w:val="004968FD"/>
    <w:rsid w:val="00497BE0"/>
    <w:rsid w:val="00497F67"/>
    <w:rsid w:val="004A0568"/>
    <w:rsid w:val="004A05AF"/>
    <w:rsid w:val="004A23D3"/>
    <w:rsid w:val="004A2E3F"/>
    <w:rsid w:val="004A2E51"/>
    <w:rsid w:val="004A314F"/>
    <w:rsid w:val="004A373A"/>
    <w:rsid w:val="004A4188"/>
    <w:rsid w:val="004A4E0C"/>
    <w:rsid w:val="004A508B"/>
    <w:rsid w:val="004A5BC3"/>
    <w:rsid w:val="004A5C1D"/>
    <w:rsid w:val="004A5EAF"/>
    <w:rsid w:val="004A7059"/>
    <w:rsid w:val="004A7572"/>
    <w:rsid w:val="004A79C9"/>
    <w:rsid w:val="004B0693"/>
    <w:rsid w:val="004B0972"/>
    <w:rsid w:val="004B0F84"/>
    <w:rsid w:val="004B1F14"/>
    <w:rsid w:val="004B1F8E"/>
    <w:rsid w:val="004B365B"/>
    <w:rsid w:val="004B3B47"/>
    <w:rsid w:val="004B3FC1"/>
    <w:rsid w:val="004B4280"/>
    <w:rsid w:val="004B460A"/>
    <w:rsid w:val="004B4852"/>
    <w:rsid w:val="004B5F22"/>
    <w:rsid w:val="004B6491"/>
    <w:rsid w:val="004B6C5A"/>
    <w:rsid w:val="004B6F04"/>
    <w:rsid w:val="004B7E18"/>
    <w:rsid w:val="004C07D6"/>
    <w:rsid w:val="004C11EB"/>
    <w:rsid w:val="004C15BC"/>
    <w:rsid w:val="004C2175"/>
    <w:rsid w:val="004C2EEC"/>
    <w:rsid w:val="004C3FD4"/>
    <w:rsid w:val="004C4032"/>
    <w:rsid w:val="004C4081"/>
    <w:rsid w:val="004C4277"/>
    <w:rsid w:val="004C42B8"/>
    <w:rsid w:val="004C4A10"/>
    <w:rsid w:val="004C5D4C"/>
    <w:rsid w:val="004C6AA7"/>
    <w:rsid w:val="004C6FF5"/>
    <w:rsid w:val="004C78B9"/>
    <w:rsid w:val="004C78EB"/>
    <w:rsid w:val="004C7E25"/>
    <w:rsid w:val="004C7FE1"/>
    <w:rsid w:val="004D00A3"/>
    <w:rsid w:val="004D080A"/>
    <w:rsid w:val="004D0841"/>
    <w:rsid w:val="004D0B96"/>
    <w:rsid w:val="004D0BB1"/>
    <w:rsid w:val="004D22B2"/>
    <w:rsid w:val="004D237F"/>
    <w:rsid w:val="004D253A"/>
    <w:rsid w:val="004D2822"/>
    <w:rsid w:val="004D29AE"/>
    <w:rsid w:val="004D2AAB"/>
    <w:rsid w:val="004D3081"/>
    <w:rsid w:val="004D34E3"/>
    <w:rsid w:val="004D4D4E"/>
    <w:rsid w:val="004D530F"/>
    <w:rsid w:val="004D5E31"/>
    <w:rsid w:val="004D5EDF"/>
    <w:rsid w:val="004D63F4"/>
    <w:rsid w:val="004D6C81"/>
    <w:rsid w:val="004D7AAB"/>
    <w:rsid w:val="004E0AE8"/>
    <w:rsid w:val="004E12F0"/>
    <w:rsid w:val="004E20F8"/>
    <w:rsid w:val="004E2A85"/>
    <w:rsid w:val="004E307F"/>
    <w:rsid w:val="004E3713"/>
    <w:rsid w:val="004E3A62"/>
    <w:rsid w:val="004E3E9E"/>
    <w:rsid w:val="004E455E"/>
    <w:rsid w:val="004E48F0"/>
    <w:rsid w:val="004E4B0F"/>
    <w:rsid w:val="004E4E9A"/>
    <w:rsid w:val="004E5092"/>
    <w:rsid w:val="004E6C40"/>
    <w:rsid w:val="004E7522"/>
    <w:rsid w:val="004F007C"/>
    <w:rsid w:val="004F0560"/>
    <w:rsid w:val="004F0604"/>
    <w:rsid w:val="004F0CC3"/>
    <w:rsid w:val="004F1367"/>
    <w:rsid w:val="004F2ABD"/>
    <w:rsid w:val="004F34E4"/>
    <w:rsid w:val="004F39F2"/>
    <w:rsid w:val="004F3C8D"/>
    <w:rsid w:val="004F43A2"/>
    <w:rsid w:val="004F4D50"/>
    <w:rsid w:val="004F5656"/>
    <w:rsid w:val="004F5DD7"/>
    <w:rsid w:val="004F6423"/>
    <w:rsid w:val="004F6D08"/>
    <w:rsid w:val="004F7BD9"/>
    <w:rsid w:val="004F7E26"/>
    <w:rsid w:val="0050020E"/>
    <w:rsid w:val="00500262"/>
    <w:rsid w:val="005008D7"/>
    <w:rsid w:val="00501756"/>
    <w:rsid w:val="00501C18"/>
    <w:rsid w:val="00501D41"/>
    <w:rsid w:val="00502B8E"/>
    <w:rsid w:val="00502C69"/>
    <w:rsid w:val="00502CB7"/>
    <w:rsid w:val="00503E00"/>
    <w:rsid w:val="00504088"/>
    <w:rsid w:val="0050412F"/>
    <w:rsid w:val="00504A2A"/>
    <w:rsid w:val="00504C9E"/>
    <w:rsid w:val="00505925"/>
    <w:rsid w:val="00506222"/>
    <w:rsid w:val="005062D8"/>
    <w:rsid w:val="00506672"/>
    <w:rsid w:val="005066FE"/>
    <w:rsid w:val="00507026"/>
    <w:rsid w:val="00507495"/>
    <w:rsid w:val="0050766B"/>
    <w:rsid w:val="005079FE"/>
    <w:rsid w:val="00507DC9"/>
    <w:rsid w:val="0051047D"/>
    <w:rsid w:val="005108DC"/>
    <w:rsid w:val="00510BD3"/>
    <w:rsid w:val="00511D04"/>
    <w:rsid w:val="0051206F"/>
    <w:rsid w:val="00512582"/>
    <w:rsid w:val="00512A64"/>
    <w:rsid w:val="0051332E"/>
    <w:rsid w:val="0051362A"/>
    <w:rsid w:val="005139D3"/>
    <w:rsid w:val="005140DB"/>
    <w:rsid w:val="0051485D"/>
    <w:rsid w:val="00514DFB"/>
    <w:rsid w:val="0051520C"/>
    <w:rsid w:val="00515389"/>
    <w:rsid w:val="005155C7"/>
    <w:rsid w:val="005162E6"/>
    <w:rsid w:val="00517474"/>
    <w:rsid w:val="00517A80"/>
    <w:rsid w:val="00517AC6"/>
    <w:rsid w:val="005204C2"/>
    <w:rsid w:val="00520A50"/>
    <w:rsid w:val="00521F9F"/>
    <w:rsid w:val="0052329D"/>
    <w:rsid w:val="0052330A"/>
    <w:rsid w:val="00523823"/>
    <w:rsid w:val="00523D7E"/>
    <w:rsid w:val="00523EED"/>
    <w:rsid w:val="00524AE5"/>
    <w:rsid w:val="00524BC8"/>
    <w:rsid w:val="00524EF9"/>
    <w:rsid w:val="0052546B"/>
    <w:rsid w:val="00526161"/>
    <w:rsid w:val="00526773"/>
    <w:rsid w:val="00527466"/>
    <w:rsid w:val="00527F75"/>
    <w:rsid w:val="00532111"/>
    <w:rsid w:val="0053222F"/>
    <w:rsid w:val="00532E02"/>
    <w:rsid w:val="00532FD2"/>
    <w:rsid w:val="00533BC8"/>
    <w:rsid w:val="00533E7B"/>
    <w:rsid w:val="0053446B"/>
    <w:rsid w:val="00534A3E"/>
    <w:rsid w:val="00534B91"/>
    <w:rsid w:val="00535D77"/>
    <w:rsid w:val="005371CF"/>
    <w:rsid w:val="00540927"/>
    <w:rsid w:val="00541089"/>
    <w:rsid w:val="005416D2"/>
    <w:rsid w:val="005418E3"/>
    <w:rsid w:val="00541945"/>
    <w:rsid w:val="00541A6A"/>
    <w:rsid w:val="00541C20"/>
    <w:rsid w:val="00541DE4"/>
    <w:rsid w:val="00541FFF"/>
    <w:rsid w:val="005428CA"/>
    <w:rsid w:val="005434A2"/>
    <w:rsid w:val="0054392B"/>
    <w:rsid w:val="00543EEC"/>
    <w:rsid w:val="00543FB0"/>
    <w:rsid w:val="00544582"/>
    <w:rsid w:val="00544E11"/>
    <w:rsid w:val="00545915"/>
    <w:rsid w:val="00545B44"/>
    <w:rsid w:val="00545FE7"/>
    <w:rsid w:val="00546963"/>
    <w:rsid w:val="00546E59"/>
    <w:rsid w:val="00547BA5"/>
    <w:rsid w:val="00550304"/>
    <w:rsid w:val="0055058F"/>
    <w:rsid w:val="00550F05"/>
    <w:rsid w:val="00550F80"/>
    <w:rsid w:val="00551D2C"/>
    <w:rsid w:val="00551E2A"/>
    <w:rsid w:val="00552045"/>
    <w:rsid w:val="00552082"/>
    <w:rsid w:val="00552181"/>
    <w:rsid w:val="00552303"/>
    <w:rsid w:val="00552B37"/>
    <w:rsid w:val="00552D63"/>
    <w:rsid w:val="00553EBD"/>
    <w:rsid w:val="0055419D"/>
    <w:rsid w:val="00554741"/>
    <w:rsid w:val="00554AC1"/>
    <w:rsid w:val="00554EF2"/>
    <w:rsid w:val="005554E5"/>
    <w:rsid w:val="00556363"/>
    <w:rsid w:val="005565B4"/>
    <w:rsid w:val="005569A9"/>
    <w:rsid w:val="00556D7C"/>
    <w:rsid w:val="0055700C"/>
    <w:rsid w:val="005571DA"/>
    <w:rsid w:val="005571DE"/>
    <w:rsid w:val="00557282"/>
    <w:rsid w:val="0055771D"/>
    <w:rsid w:val="0055772C"/>
    <w:rsid w:val="0055779C"/>
    <w:rsid w:val="00557A99"/>
    <w:rsid w:val="00557ABB"/>
    <w:rsid w:val="00557C68"/>
    <w:rsid w:val="00557D0B"/>
    <w:rsid w:val="00560F5F"/>
    <w:rsid w:val="0056197E"/>
    <w:rsid w:val="00561D26"/>
    <w:rsid w:val="0056201B"/>
    <w:rsid w:val="00562589"/>
    <w:rsid w:val="00562855"/>
    <w:rsid w:val="005635F1"/>
    <w:rsid w:val="005639E1"/>
    <w:rsid w:val="005650E6"/>
    <w:rsid w:val="00565504"/>
    <w:rsid w:val="00565BEC"/>
    <w:rsid w:val="00565D46"/>
    <w:rsid w:val="00565FBC"/>
    <w:rsid w:val="00566338"/>
    <w:rsid w:val="00570125"/>
    <w:rsid w:val="00570C5A"/>
    <w:rsid w:val="00571262"/>
    <w:rsid w:val="0057168D"/>
    <w:rsid w:val="00572511"/>
    <w:rsid w:val="00572AAA"/>
    <w:rsid w:val="00572C47"/>
    <w:rsid w:val="00572CD4"/>
    <w:rsid w:val="005737F1"/>
    <w:rsid w:val="00573AEC"/>
    <w:rsid w:val="00573D9C"/>
    <w:rsid w:val="00575352"/>
    <w:rsid w:val="00575824"/>
    <w:rsid w:val="00575A67"/>
    <w:rsid w:val="00575C59"/>
    <w:rsid w:val="00576AE9"/>
    <w:rsid w:val="0057792B"/>
    <w:rsid w:val="005779D1"/>
    <w:rsid w:val="00577C3E"/>
    <w:rsid w:val="00580104"/>
    <w:rsid w:val="00580B36"/>
    <w:rsid w:val="00580C96"/>
    <w:rsid w:val="00581788"/>
    <w:rsid w:val="005817F4"/>
    <w:rsid w:val="005819E8"/>
    <w:rsid w:val="0058250D"/>
    <w:rsid w:val="0058259D"/>
    <w:rsid w:val="0058262B"/>
    <w:rsid w:val="00582696"/>
    <w:rsid w:val="00582D4C"/>
    <w:rsid w:val="005838CE"/>
    <w:rsid w:val="005838F7"/>
    <w:rsid w:val="00583A34"/>
    <w:rsid w:val="00584021"/>
    <w:rsid w:val="005844FA"/>
    <w:rsid w:val="00584F4C"/>
    <w:rsid w:val="00585973"/>
    <w:rsid w:val="00585A48"/>
    <w:rsid w:val="005861B6"/>
    <w:rsid w:val="005867F9"/>
    <w:rsid w:val="00586A4C"/>
    <w:rsid w:val="00586B01"/>
    <w:rsid w:val="00587348"/>
    <w:rsid w:val="005874F1"/>
    <w:rsid w:val="00590600"/>
    <w:rsid w:val="00590E96"/>
    <w:rsid w:val="005920BF"/>
    <w:rsid w:val="005925CD"/>
    <w:rsid w:val="005953D0"/>
    <w:rsid w:val="0059547E"/>
    <w:rsid w:val="00595F25"/>
    <w:rsid w:val="005976DA"/>
    <w:rsid w:val="00597FF7"/>
    <w:rsid w:val="005A0611"/>
    <w:rsid w:val="005A0B00"/>
    <w:rsid w:val="005A0E1E"/>
    <w:rsid w:val="005A100E"/>
    <w:rsid w:val="005A11AE"/>
    <w:rsid w:val="005A1A55"/>
    <w:rsid w:val="005A1DD6"/>
    <w:rsid w:val="005A2579"/>
    <w:rsid w:val="005A2BDF"/>
    <w:rsid w:val="005A32A8"/>
    <w:rsid w:val="005A37E1"/>
    <w:rsid w:val="005A4A80"/>
    <w:rsid w:val="005A4BE5"/>
    <w:rsid w:val="005A4D6A"/>
    <w:rsid w:val="005A57EF"/>
    <w:rsid w:val="005A66A7"/>
    <w:rsid w:val="005A66F1"/>
    <w:rsid w:val="005A67FD"/>
    <w:rsid w:val="005A6E17"/>
    <w:rsid w:val="005A714F"/>
    <w:rsid w:val="005A7851"/>
    <w:rsid w:val="005B0536"/>
    <w:rsid w:val="005B0A2C"/>
    <w:rsid w:val="005B0F8A"/>
    <w:rsid w:val="005B170A"/>
    <w:rsid w:val="005B1B7A"/>
    <w:rsid w:val="005B2215"/>
    <w:rsid w:val="005B25CC"/>
    <w:rsid w:val="005B2BA6"/>
    <w:rsid w:val="005B3345"/>
    <w:rsid w:val="005B3AA1"/>
    <w:rsid w:val="005B40A1"/>
    <w:rsid w:val="005B4526"/>
    <w:rsid w:val="005B4804"/>
    <w:rsid w:val="005B54F0"/>
    <w:rsid w:val="005B6004"/>
    <w:rsid w:val="005B6F9B"/>
    <w:rsid w:val="005B7174"/>
    <w:rsid w:val="005B76A0"/>
    <w:rsid w:val="005C0676"/>
    <w:rsid w:val="005C15CB"/>
    <w:rsid w:val="005C1A2F"/>
    <w:rsid w:val="005C2577"/>
    <w:rsid w:val="005C316A"/>
    <w:rsid w:val="005C32FC"/>
    <w:rsid w:val="005C3A35"/>
    <w:rsid w:val="005C4069"/>
    <w:rsid w:val="005C40E9"/>
    <w:rsid w:val="005C4994"/>
    <w:rsid w:val="005C4CC2"/>
    <w:rsid w:val="005C4D92"/>
    <w:rsid w:val="005C599E"/>
    <w:rsid w:val="005C5AFB"/>
    <w:rsid w:val="005C628F"/>
    <w:rsid w:val="005C72A2"/>
    <w:rsid w:val="005D05A9"/>
    <w:rsid w:val="005D0C4A"/>
    <w:rsid w:val="005D1179"/>
    <w:rsid w:val="005D19A1"/>
    <w:rsid w:val="005D1D48"/>
    <w:rsid w:val="005D1E27"/>
    <w:rsid w:val="005D2271"/>
    <w:rsid w:val="005D2416"/>
    <w:rsid w:val="005D242B"/>
    <w:rsid w:val="005D2E53"/>
    <w:rsid w:val="005D35BB"/>
    <w:rsid w:val="005D4B6D"/>
    <w:rsid w:val="005D511B"/>
    <w:rsid w:val="005D55EC"/>
    <w:rsid w:val="005D5F76"/>
    <w:rsid w:val="005D6C9F"/>
    <w:rsid w:val="005D7C74"/>
    <w:rsid w:val="005E0385"/>
    <w:rsid w:val="005E0CD2"/>
    <w:rsid w:val="005E0D11"/>
    <w:rsid w:val="005E1D4C"/>
    <w:rsid w:val="005E29E4"/>
    <w:rsid w:val="005E2A1A"/>
    <w:rsid w:val="005E36F4"/>
    <w:rsid w:val="005E37A4"/>
    <w:rsid w:val="005E3996"/>
    <w:rsid w:val="005E3F7C"/>
    <w:rsid w:val="005E4645"/>
    <w:rsid w:val="005E4DB2"/>
    <w:rsid w:val="005E645D"/>
    <w:rsid w:val="005E64AB"/>
    <w:rsid w:val="005E68D9"/>
    <w:rsid w:val="005E69DC"/>
    <w:rsid w:val="005F0279"/>
    <w:rsid w:val="005F051A"/>
    <w:rsid w:val="005F0E31"/>
    <w:rsid w:val="005F1007"/>
    <w:rsid w:val="005F126C"/>
    <w:rsid w:val="005F25F9"/>
    <w:rsid w:val="005F35EF"/>
    <w:rsid w:val="005F3BA9"/>
    <w:rsid w:val="005F40E0"/>
    <w:rsid w:val="005F45A5"/>
    <w:rsid w:val="005F4FCB"/>
    <w:rsid w:val="005F5168"/>
    <w:rsid w:val="005F5721"/>
    <w:rsid w:val="005F5F6F"/>
    <w:rsid w:val="005F687F"/>
    <w:rsid w:val="005F68CC"/>
    <w:rsid w:val="005F6D5E"/>
    <w:rsid w:val="005F6EF9"/>
    <w:rsid w:val="005F7057"/>
    <w:rsid w:val="005F76BB"/>
    <w:rsid w:val="005F77BD"/>
    <w:rsid w:val="005F7BBB"/>
    <w:rsid w:val="005F7DDD"/>
    <w:rsid w:val="005F7E78"/>
    <w:rsid w:val="00600EE9"/>
    <w:rsid w:val="00600F5E"/>
    <w:rsid w:val="0060134D"/>
    <w:rsid w:val="00601637"/>
    <w:rsid w:val="00601CD8"/>
    <w:rsid w:val="00601D34"/>
    <w:rsid w:val="00601D6B"/>
    <w:rsid w:val="00601E1D"/>
    <w:rsid w:val="0060256D"/>
    <w:rsid w:val="00602664"/>
    <w:rsid w:val="006027E1"/>
    <w:rsid w:val="00603687"/>
    <w:rsid w:val="00603A25"/>
    <w:rsid w:val="00603AF5"/>
    <w:rsid w:val="00603D80"/>
    <w:rsid w:val="00603E9E"/>
    <w:rsid w:val="00604012"/>
    <w:rsid w:val="006045E1"/>
    <w:rsid w:val="00604D49"/>
    <w:rsid w:val="00605221"/>
    <w:rsid w:val="00605EFF"/>
    <w:rsid w:val="006067B4"/>
    <w:rsid w:val="006068CF"/>
    <w:rsid w:val="00606AEC"/>
    <w:rsid w:val="006072A6"/>
    <w:rsid w:val="0061089B"/>
    <w:rsid w:val="00610D5B"/>
    <w:rsid w:val="0061106A"/>
    <w:rsid w:val="006119B8"/>
    <w:rsid w:val="00611A90"/>
    <w:rsid w:val="00612208"/>
    <w:rsid w:val="00612281"/>
    <w:rsid w:val="006123D3"/>
    <w:rsid w:val="006126B2"/>
    <w:rsid w:val="00612BC9"/>
    <w:rsid w:val="00613D17"/>
    <w:rsid w:val="00614679"/>
    <w:rsid w:val="00615138"/>
    <w:rsid w:val="006154E1"/>
    <w:rsid w:val="006155FF"/>
    <w:rsid w:val="00616624"/>
    <w:rsid w:val="0061746C"/>
    <w:rsid w:val="00617824"/>
    <w:rsid w:val="006178E0"/>
    <w:rsid w:val="00617E38"/>
    <w:rsid w:val="00621171"/>
    <w:rsid w:val="00621486"/>
    <w:rsid w:val="00622E42"/>
    <w:rsid w:val="00623705"/>
    <w:rsid w:val="006238D8"/>
    <w:rsid w:val="00623959"/>
    <w:rsid w:val="00623BE4"/>
    <w:rsid w:val="00624AB7"/>
    <w:rsid w:val="00624C2E"/>
    <w:rsid w:val="00624E92"/>
    <w:rsid w:val="006255E6"/>
    <w:rsid w:val="00625E6B"/>
    <w:rsid w:val="006261F5"/>
    <w:rsid w:val="006267F0"/>
    <w:rsid w:val="00627B29"/>
    <w:rsid w:val="00630064"/>
    <w:rsid w:val="006303B8"/>
    <w:rsid w:val="00631081"/>
    <w:rsid w:val="00631AF0"/>
    <w:rsid w:val="00631D2A"/>
    <w:rsid w:val="00631E10"/>
    <w:rsid w:val="0063252B"/>
    <w:rsid w:val="00633541"/>
    <w:rsid w:val="006338D0"/>
    <w:rsid w:val="00633C03"/>
    <w:rsid w:val="006353FD"/>
    <w:rsid w:val="00635BFE"/>
    <w:rsid w:val="0063666C"/>
    <w:rsid w:val="0063696A"/>
    <w:rsid w:val="0063699D"/>
    <w:rsid w:val="0063718A"/>
    <w:rsid w:val="006372FB"/>
    <w:rsid w:val="006374C5"/>
    <w:rsid w:val="00640524"/>
    <w:rsid w:val="0064073C"/>
    <w:rsid w:val="00641376"/>
    <w:rsid w:val="00641DB5"/>
    <w:rsid w:val="0064290A"/>
    <w:rsid w:val="00642A2F"/>
    <w:rsid w:val="00642AB5"/>
    <w:rsid w:val="006433D5"/>
    <w:rsid w:val="00643566"/>
    <w:rsid w:val="00643A2D"/>
    <w:rsid w:val="00644126"/>
    <w:rsid w:val="006445F1"/>
    <w:rsid w:val="006449A6"/>
    <w:rsid w:val="00644B8B"/>
    <w:rsid w:val="00644DC5"/>
    <w:rsid w:val="00645249"/>
    <w:rsid w:val="0064735B"/>
    <w:rsid w:val="00647A6E"/>
    <w:rsid w:val="00647B50"/>
    <w:rsid w:val="00650384"/>
    <w:rsid w:val="0065068C"/>
    <w:rsid w:val="006506FB"/>
    <w:rsid w:val="00651122"/>
    <w:rsid w:val="00651C6D"/>
    <w:rsid w:val="00652BFF"/>
    <w:rsid w:val="00653AC5"/>
    <w:rsid w:val="00654299"/>
    <w:rsid w:val="006544E4"/>
    <w:rsid w:val="00654E4A"/>
    <w:rsid w:val="006551F4"/>
    <w:rsid w:val="0065523B"/>
    <w:rsid w:val="00655766"/>
    <w:rsid w:val="0065592D"/>
    <w:rsid w:val="00655D08"/>
    <w:rsid w:val="00655F86"/>
    <w:rsid w:val="00655F88"/>
    <w:rsid w:val="0065617C"/>
    <w:rsid w:val="00656CE8"/>
    <w:rsid w:val="00657A76"/>
    <w:rsid w:val="006608C9"/>
    <w:rsid w:val="00661418"/>
    <w:rsid w:val="00661536"/>
    <w:rsid w:val="006619A4"/>
    <w:rsid w:val="006623E3"/>
    <w:rsid w:val="00662DB9"/>
    <w:rsid w:val="006634B8"/>
    <w:rsid w:val="006635B9"/>
    <w:rsid w:val="00664768"/>
    <w:rsid w:val="00664F9F"/>
    <w:rsid w:val="006654D8"/>
    <w:rsid w:val="00666C43"/>
    <w:rsid w:val="0066737E"/>
    <w:rsid w:val="00667531"/>
    <w:rsid w:val="00667AA5"/>
    <w:rsid w:val="0067038E"/>
    <w:rsid w:val="0067041D"/>
    <w:rsid w:val="00670E49"/>
    <w:rsid w:val="00671A23"/>
    <w:rsid w:val="00673629"/>
    <w:rsid w:val="00674AB0"/>
    <w:rsid w:val="006751E5"/>
    <w:rsid w:val="00675A1E"/>
    <w:rsid w:val="006761C1"/>
    <w:rsid w:val="0067625F"/>
    <w:rsid w:val="006765ED"/>
    <w:rsid w:val="00677180"/>
    <w:rsid w:val="0067787A"/>
    <w:rsid w:val="00677B88"/>
    <w:rsid w:val="00677F80"/>
    <w:rsid w:val="00680303"/>
    <w:rsid w:val="0068033B"/>
    <w:rsid w:val="00680ED8"/>
    <w:rsid w:val="0068102F"/>
    <w:rsid w:val="00681AA1"/>
    <w:rsid w:val="00681AFD"/>
    <w:rsid w:val="00681EEC"/>
    <w:rsid w:val="00682D10"/>
    <w:rsid w:val="00683383"/>
    <w:rsid w:val="00684230"/>
    <w:rsid w:val="0068503E"/>
    <w:rsid w:val="00687715"/>
    <w:rsid w:val="00687B41"/>
    <w:rsid w:val="00687CA7"/>
    <w:rsid w:val="00687ED1"/>
    <w:rsid w:val="00690820"/>
    <w:rsid w:val="0069098D"/>
    <w:rsid w:val="00690FCC"/>
    <w:rsid w:val="00691570"/>
    <w:rsid w:val="00691BAF"/>
    <w:rsid w:val="006927D1"/>
    <w:rsid w:val="00692C34"/>
    <w:rsid w:val="00692D4F"/>
    <w:rsid w:val="00692D71"/>
    <w:rsid w:val="0069325B"/>
    <w:rsid w:val="006942A9"/>
    <w:rsid w:val="00694939"/>
    <w:rsid w:val="00695624"/>
    <w:rsid w:val="00695988"/>
    <w:rsid w:val="00695DCD"/>
    <w:rsid w:val="00696547"/>
    <w:rsid w:val="00696ACA"/>
    <w:rsid w:val="006971C1"/>
    <w:rsid w:val="006972CD"/>
    <w:rsid w:val="006A0776"/>
    <w:rsid w:val="006A07E3"/>
    <w:rsid w:val="006A07F7"/>
    <w:rsid w:val="006A09ED"/>
    <w:rsid w:val="006A1518"/>
    <w:rsid w:val="006A2198"/>
    <w:rsid w:val="006A3790"/>
    <w:rsid w:val="006A37C2"/>
    <w:rsid w:val="006A41F9"/>
    <w:rsid w:val="006A4785"/>
    <w:rsid w:val="006A4C93"/>
    <w:rsid w:val="006A4D90"/>
    <w:rsid w:val="006A50D8"/>
    <w:rsid w:val="006A52F8"/>
    <w:rsid w:val="006A5A3C"/>
    <w:rsid w:val="006A6288"/>
    <w:rsid w:val="006A6561"/>
    <w:rsid w:val="006A6FEE"/>
    <w:rsid w:val="006A7750"/>
    <w:rsid w:val="006A780D"/>
    <w:rsid w:val="006B03CD"/>
    <w:rsid w:val="006B0903"/>
    <w:rsid w:val="006B26BD"/>
    <w:rsid w:val="006B29C8"/>
    <w:rsid w:val="006B3914"/>
    <w:rsid w:val="006B3FE0"/>
    <w:rsid w:val="006B4618"/>
    <w:rsid w:val="006B48F5"/>
    <w:rsid w:val="006B4A0F"/>
    <w:rsid w:val="006B4AE8"/>
    <w:rsid w:val="006B4C55"/>
    <w:rsid w:val="006B4F87"/>
    <w:rsid w:val="006B57AD"/>
    <w:rsid w:val="006B5954"/>
    <w:rsid w:val="006B5EAA"/>
    <w:rsid w:val="006B68EF"/>
    <w:rsid w:val="006B6903"/>
    <w:rsid w:val="006B6B59"/>
    <w:rsid w:val="006B6DCD"/>
    <w:rsid w:val="006B73F8"/>
    <w:rsid w:val="006B7E99"/>
    <w:rsid w:val="006B7ED9"/>
    <w:rsid w:val="006C0B42"/>
    <w:rsid w:val="006C106D"/>
    <w:rsid w:val="006C1779"/>
    <w:rsid w:val="006C1A8E"/>
    <w:rsid w:val="006C1B90"/>
    <w:rsid w:val="006C20B6"/>
    <w:rsid w:val="006C2276"/>
    <w:rsid w:val="006C25EB"/>
    <w:rsid w:val="006C2B0B"/>
    <w:rsid w:val="006C2C74"/>
    <w:rsid w:val="006C2E8F"/>
    <w:rsid w:val="006C3359"/>
    <w:rsid w:val="006C360E"/>
    <w:rsid w:val="006C3D81"/>
    <w:rsid w:val="006C49F3"/>
    <w:rsid w:val="006C552F"/>
    <w:rsid w:val="006C6511"/>
    <w:rsid w:val="006C7BAA"/>
    <w:rsid w:val="006D0AF4"/>
    <w:rsid w:val="006D1092"/>
    <w:rsid w:val="006D1288"/>
    <w:rsid w:val="006D17E7"/>
    <w:rsid w:val="006D206E"/>
    <w:rsid w:val="006D453B"/>
    <w:rsid w:val="006D4D0B"/>
    <w:rsid w:val="006D4EFC"/>
    <w:rsid w:val="006D5C42"/>
    <w:rsid w:val="006D6151"/>
    <w:rsid w:val="006D6936"/>
    <w:rsid w:val="006D7337"/>
    <w:rsid w:val="006D7606"/>
    <w:rsid w:val="006E0923"/>
    <w:rsid w:val="006E0FB1"/>
    <w:rsid w:val="006E12FC"/>
    <w:rsid w:val="006E15B9"/>
    <w:rsid w:val="006E1D40"/>
    <w:rsid w:val="006E21A3"/>
    <w:rsid w:val="006E2550"/>
    <w:rsid w:val="006E2B7D"/>
    <w:rsid w:val="006E330C"/>
    <w:rsid w:val="006E335E"/>
    <w:rsid w:val="006E3CCB"/>
    <w:rsid w:val="006E4443"/>
    <w:rsid w:val="006E4452"/>
    <w:rsid w:val="006E49CD"/>
    <w:rsid w:val="006E4BE9"/>
    <w:rsid w:val="006E4F57"/>
    <w:rsid w:val="006E5F98"/>
    <w:rsid w:val="006E69A2"/>
    <w:rsid w:val="006E6D1B"/>
    <w:rsid w:val="006E6D94"/>
    <w:rsid w:val="006E6F86"/>
    <w:rsid w:val="006E72D2"/>
    <w:rsid w:val="006F02D0"/>
    <w:rsid w:val="006F0BAD"/>
    <w:rsid w:val="006F0DD9"/>
    <w:rsid w:val="006F0E2F"/>
    <w:rsid w:val="006F10FB"/>
    <w:rsid w:val="006F119C"/>
    <w:rsid w:val="006F17B4"/>
    <w:rsid w:val="006F2C9F"/>
    <w:rsid w:val="006F330E"/>
    <w:rsid w:val="006F3888"/>
    <w:rsid w:val="006F3DA0"/>
    <w:rsid w:val="006F3FFB"/>
    <w:rsid w:val="006F427B"/>
    <w:rsid w:val="006F4737"/>
    <w:rsid w:val="006F5239"/>
    <w:rsid w:val="006F63A3"/>
    <w:rsid w:val="006F6779"/>
    <w:rsid w:val="006F6DBC"/>
    <w:rsid w:val="006F6F3A"/>
    <w:rsid w:val="006F7A6D"/>
    <w:rsid w:val="00701E4B"/>
    <w:rsid w:val="00701F43"/>
    <w:rsid w:val="0070282C"/>
    <w:rsid w:val="007028F7"/>
    <w:rsid w:val="00702A18"/>
    <w:rsid w:val="007042ED"/>
    <w:rsid w:val="0070443B"/>
    <w:rsid w:val="00705627"/>
    <w:rsid w:val="00706409"/>
    <w:rsid w:val="00706425"/>
    <w:rsid w:val="007065F5"/>
    <w:rsid w:val="00706EDF"/>
    <w:rsid w:val="00707B14"/>
    <w:rsid w:val="00707B51"/>
    <w:rsid w:val="007102AD"/>
    <w:rsid w:val="0071043D"/>
    <w:rsid w:val="007105F2"/>
    <w:rsid w:val="00710BEB"/>
    <w:rsid w:val="00711A06"/>
    <w:rsid w:val="00711F9B"/>
    <w:rsid w:val="0071232F"/>
    <w:rsid w:val="00712905"/>
    <w:rsid w:val="00713B74"/>
    <w:rsid w:val="00713E1A"/>
    <w:rsid w:val="00713EE8"/>
    <w:rsid w:val="00714405"/>
    <w:rsid w:val="00714D94"/>
    <w:rsid w:val="00715C0E"/>
    <w:rsid w:val="00715C3E"/>
    <w:rsid w:val="007168EB"/>
    <w:rsid w:val="00716A08"/>
    <w:rsid w:val="007172FF"/>
    <w:rsid w:val="00717B36"/>
    <w:rsid w:val="007206B1"/>
    <w:rsid w:val="00721167"/>
    <w:rsid w:val="007215FC"/>
    <w:rsid w:val="00721ACD"/>
    <w:rsid w:val="00721D3B"/>
    <w:rsid w:val="00721F46"/>
    <w:rsid w:val="007220BE"/>
    <w:rsid w:val="007222CB"/>
    <w:rsid w:val="007227C2"/>
    <w:rsid w:val="00723184"/>
    <w:rsid w:val="007233EF"/>
    <w:rsid w:val="00725181"/>
    <w:rsid w:val="00725F15"/>
    <w:rsid w:val="00726A27"/>
    <w:rsid w:val="00726A83"/>
    <w:rsid w:val="00726D4E"/>
    <w:rsid w:val="00726F37"/>
    <w:rsid w:val="00727119"/>
    <w:rsid w:val="00727DBA"/>
    <w:rsid w:val="007305DE"/>
    <w:rsid w:val="007306D2"/>
    <w:rsid w:val="0073077C"/>
    <w:rsid w:val="00730B74"/>
    <w:rsid w:val="00730ED5"/>
    <w:rsid w:val="007311EF"/>
    <w:rsid w:val="00732DE6"/>
    <w:rsid w:val="007330A3"/>
    <w:rsid w:val="0073384D"/>
    <w:rsid w:val="00734174"/>
    <w:rsid w:val="007341C2"/>
    <w:rsid w:val="00734687"/>
    <w:rsid w:val="007346E7"/>
    <w:rsid w:val="00734CA2"/>
    <w:rsid w:val="00735B56"/>
    <w:rsid w:val="00736081"/>
    <w:rsid w:val="007365AA"/>
    <w:rsid w:val="007367A5"/>
    <w:rsid w:val="0073697A"/>
    <w:rsid w:val="00736F78"/>
    <w:rsid w:val="00737E4D"/>
    <w:rsid w:val="00740A11"/>
    <w:rsid w:val="00740A89"/>
    <w:rsid w:val="00740ABE"/>
    <w:rsid w:val="00741EF9"/>
    <w:rsid w:val="0074225E"/>
    <w:rsid w:val="0074246F"/>
    <w:rsid w:val="007436FE"/>
    <w:rsid w:val="00744574"/>
    <w:rsid w:val="00745C22"/>
    <w:rsid w:val="00745D3F"/>
    <w:rsid w:val="00746061"/>
    <w:rsid w:val="00746A3C"/>
    <w:rsid w:val="00746B11"/>
    <w:rsid w:val="00747490"/>
    <w:rsid w:val="00747FF2"/>
    <w:rsid w:val="0075007F"/>
    <w:rsid w:val="0075053D"/>
    <w:rsid w:val="007507B9"/>
    <w:rsid w:val="00750954"/>
    <w:rsid w:val="00750C29"/>
    <w:rsid w:val="0075131D"/>
    <w:rsid w:val="0075142F"/>
    <w:rsid w:val="00751BC1"/>
    <w:rsid w:val="0075214E"/>
    <w:rsid w:val="00752C5F"/>
    <w:rsid w:val="00752D14"/>
    <w:rsid w:val="00753405"/>
    <w:rsid w:val="0075349D"/>
    <w:rsid w:val="007535C7"/>
    <w:rsid w:val="007537E4"/>
    <w:rsid w:val="00753878"/>
    <w:rsid w:val="0075390E"/>
    <w:rsid w:val="00753C78"/>
    <w:rsid w:val="007542C0"/>
    <w:rsid w:val="0075449B"/>
    <w:rsid w:val="0075454A"/>
    <w:rsid w:val="00754629"/>
    <w:rsid w:val="00754698"/>
    <w:rsid w:val="00754942"/>
    <w:rsid w:val="00755548"/>
    <w:rsid w:val="0075573B"/>
    <w:rsid w:val="0075581D"/>
    <w:rsid w:val="00755BDC"/>
    <w:rsid w:val="00755BEC"/>
    <w:rsid w:val="00755E49"/>
    <w:rsid w:val="0075655E"/>
    <w:rsid w:val="0075662A"/>
    <w:rsid w:val="0075708F"/>
    <w:rsid w:val="00757171"/>
    <w:rsid w:val="00757992"/>
    <w:rsid w:val="007607E8"/>
    <w:rsid w:val="007610F1"/>
    <w:rsid w:val="007622A5"/>
    <w:rsid w:val="00762326"/>
    <w:rsid w:val="00762925"/>
    <w:rsid w:val="00763B6F"/>
    <w:rsid w:val="00764696"/>
    <w:rsid w:val="00765403"/>
    <w:rsid w:val="007654A8"/>
    <w:rsid w:val="0076557A"/>
    <w:rsid w:val="00765656"/>
    <w:rsid w:val="00765AB5"/>
    <w:rsid w:val="0076687D"/>
    <w:rsid w:val="00766A8B"/>
    <w:rsid w:val="007675BD"/>
    <w:rsid w:val="00767849"/>
    <w:rsid w:val="007701A4"/>
    <w:rsid w:val="007706F9"/>
    <w:rsid w:val="00770774"/>
    <w:rsid w:val="00770A54"/>
    <w:rsid w:val="00770F9D"/>
    <w:rsid w:val="007710F4"/>
    <w:rsid w:val="00771270"/>
    <w:rsid w:val="007718E1"/>
    <w:rsid w:val="00772099"/>
    <w:rsid w:val="007725DF"/>
    <w:rsid w:val="00772707"/>
    <w:rsid w:val="00772C5A"/>
    <w:rsid w:val="00773BE3"/>
    <w:rsid w:val="00773C07"/>
    <w:rsid w:val="00773C7D"/>
    <w:rsid w:val="00773DF9"/>
    <w:rsid w:val="00774153"/>
    <w:rsid w:val="007747C0"/>
    <w:rsid w:val="00774954"/>
    <w:rsid w:val="00774FF2"/>
    <w:rsid w:val="007751E3"/>
    <w:rsid w:val="007757AF"/>
    <w:rsid w:val="007759D0"/>
    <w:rsid w:val="00776B7F"/>
    <w:rsid w:val="00777684"/>
    <w:rsid w:val="007778D7"/>
    <w:rsid w:val="00777BB7"/>
    <w:rsid w:val="00777D45"/>
    <w:rsid w:val="0078012A"/>
    <w:rsid w:val="0078088C"/>
    <w:rsid w:val="007811D7"/>
    <w:rsid w:val="007822A6"/>
    <w:rsid w:val="007829B8"/>
    <w:rsid w:val="007836F0"/>
    <w:rsid w:val="00783BA1"/>
    <w:rsid w:val="00784C2E"/>
    <w:rsid w:val="007870E7"/>
    <w:rsid w:val="007879D8"/>
    <w:rsid w:val="00790230"/>
    <w:rsid w:val="00790267"/>
    <w:rsid w:val="0079131F"/>
    <w:rsid w:val="007913D4"/>
    <w:rsid w:val="0079183E"/>
    <w:rsid w:val="00791A7F"/>
    <w:rsid w:val="00791B8D"/>
    <w:rsid w:val="007923D0"/>
    <w:rsid w:val="00792A7C"/>
    <w:rsid w:val="00792D8C"/>
    <w:rsid w:val="0079322E"/>
    <w:rsid w:val="00793258"/>
    <w:rsid w:val="00793F1E"/>
    <w:rsid w:val="00794584"/>
    <w:rsid w:val="00794788"/>
    <w:rsid w:val="00794A6A"/>
    <w:rsid w:val="00795FE3"/>
    <w:rsid w:val="00796C7D"/>
    <w:rsid w:val="00796E51"/>
    <w:rsid w:val="0079709E"/>
    <w:rsid w:val="007979C8"/>
    <w:rsid w:val="007A0699"/>
    <w:rsid w:val="007A099D"/>
    <w:rsid w:val="007A14B0"/>
    <w:rsid w:val="007A15AE"/>
    <w:rsid w:val="007A213E"/>
    <w:rsid w:val="007A2196"/>
    <w:rsid w:val="007A2852"/>
    <w:rsid w:val="007A3A8A"/>
    <w:rsid w:val="007A462F"/>
    <w:rsid w:val="007A4740"/>
    <w:rsid w:val="007A47EE"/>
    <w:rsid w:val="007A4DDD"/>
    <w:rsid w:val="007A4F61"/>
    <w:rsid w:val="007A5708"/>
    <w:rsid w:val="007A6230"/>
    <w:rsid w:val="007A64F4"/>
    <w:rsid w:val="007A692E"/>
    <w:rsid w:val="007A75DC"/>
    <w:rsid w:val="007A796E"/>
    <w:rsid w:val="007B1193"/>
    <w:rsid w:val="007B15A2"/>
    <w:rsid w:val="007B1B7A"/>
    <w:rsid w:val="007B1CB6"/>
    <w:rsid w:val="007B202A"/>
    <w:rsid w:val="007B25EB"/>
    <w:rsid w:val="007B2823"/>
    <w:rsid w:val="007B45EA"/>
    <w:rsid w:val="007B4D21"/>
    <w:rsid w:val="007B4E10"/>
    <w:rsid w:val="007B580A"/>
    <w:rsid w:val="007B5FB4"/>
    <w:rsid w:val="007B6784"/>
    <w:rsid w:val="007B70D8"/>
    <w:rsid w:val="007C1509"/>
    <w:rsid w:val="007C1D81"/>
    <w:rsid w:val="007C2B1E"/>
    <w:rsid w:val="007C2F45"/>
    <w:rsid w:val="007C3550"/>
    <w:rsid w:val="007C3A4C"/>
    <w:rsid w:val="007C3B99"/>
    <w:rsid w:val="007C3EDC"/>
    <w:rsid w:val="007C4181"/>
    <w:rsid w:val="007C4B4D"/>
    <w:rsid w:val="007C5646"/>
    <w:rsid w:val="007C5737"/>
    <w:rsid w:val="007C6247"/>
    <w:rsid w:val="007C6601"/>
    <w:rsid w:val="007C7EA0"/>
    <w:rsid w:val="007D06E7"/>
    <w:rsid w:val="007D072B"/>
    <w:rsid w:val="007D09D0"/>
    <w:rsid w:val="007D0ECD"/>
    <w:rsid w:val="007D16CE"/>
    <w:rsid w:val="007D1A64"/>
    <w:rsid w:val="007D1F55"/>
    <w:rsid w:val="007D2F90"/>
    <w:rsid w:val="007D3417"/>
    <w:rsid w:val="007D34C7"/>
    <w:rsid w:val="007D3B2E"/>
    <w:rsid w:val="007D3DF8"/>
    <w:rsid w:val="007D45A8"/>
    <w:rsid w:val="007D47DC"/>
    <w:rsid w:val="007D542E"/>
    <w:rsid w:val="007D589C"/>
    <w:rsid w:val="007D5F64"/>
    <w:rsid w:val="007D6227"/>
    <w:rsid w:val="007D6D05"/>
    <w:rsid w:val="007D6D6C"/>
    <w:rsid w:val="007D7200"/>
    <w:rsid w:val="007D73EE"/>
    <w:rsid w:val="007E0050"/>
    <w:rsid w:val="007E0489"/>
    <w:rsid w:val="007E11E3"/>
    <w:rsid w:val="007E139E"/>
    <w:rsid w:val="007E2265"/>
    <w:rsid w:val="007E2F08"/>
    <w:rsid w:val="007E35F6"/>
    <w:rsid w:val="007E42C2"/>
    <w:rsid w:val="007E44F5"/>
    <w:rsid w:val="007E4C28"/>
    <w:rsid w:val="007E4F62"/>
    <w:rsid w:val="007E50BA"/>
    <w:rsid w:val="007E530D"/>
    <w:rsid w:val="007E5FD7"/>
    <w:rsid w:val="007E63C9"/>
    <w:rsid w:val="007E696D"/>
    <w:rsid w:val="007E6D30"/>
    <w:rsid w:val="007E77F5"/>
    <w:rsid w:val="007ED3F4"/>
    <w:rsid w:val="007F087C"/>
    <w:rsid w:val="007F0F5D"/>
    <w:rsid w:val="007F17C2"/>
    <w:rsid w:val="007F17C7"/>
    <w:rsid w:val="007F18C8"/>
    <w:rsid w:val="007F231E"/>
    <w:rsid w:val="007F23CD"/>
    <w:rsid w:val="007F2441"/>
    <w:rsid w:val="007F2AAF"/>
    <w:rsid w:val="007F2D4D"/>
    <w:rsid w:val="007F373F"/>
    <w:rsid w:val="007F3D8B"/>
    <w:rsid w:val="007F52DB"/>
    <w:rsid w:val="007F5454"/>
    <w:rsid w:val="007F5A9A"/>
    <w:rsid w:val="007F5C30"/>
    <w:rsid w:val="007F62D9"/>
    <w:rsid w:val="007F6584"/>
    <w:rsid w:val="007F6E40"/>
    <w:rsid w:val="007F7122"/>
    <w:rsid w:val="007F7BAB"/>
    <w:rsid w:val="0080013A"/>
    <w:rsid w:val="00800AB7"/>
    <w:rsid w:val="00800FDB"/>
    <w:rsid w:val="0080162C"/>
    <w:rsid w:val="008016FE"/>
    <w:rsid w:val="008048CA"/>
    <w:rsid w:val="00805AD1"/>
    <w:rsid w:val="00805DCF"/>
    <w:rsid w:val="0080605C"/>
    <w:rsid w:val="008063AB"/>
    <w:rsid w:val="00807C50"/>
    <w:rsid w:val="00807D03"/>
    <w:rsid w:val="008101EC"/>
    <w:rsid w:val="0081044E"/>
    <w:rsid w:val="00810504"/>
    <w:rsid w:val="00810A9E"/>
    <w:rsid w:val="00811532"/>
    <w:rsid w:val="00811582"/>
    <w:rsid w:val="008127A2"/>
    <w:rsid w:val="00812870"/>
    <w:rsid w:val="00812D30"/>
    <w:rsid w:val="0081300E"/>
    <w:rsid w:val="0081339B"/>
    <w:rsid w:val="008135F7"/>
    <w:rsid w:val="0081533A"/>
    <w:rsid w:val="00815CB9"/>
    <w:rsid w:val="008161AC"/>
    <w:rsid w:val="008161C4"/>
    <w:rsid w:val="00816668"/>
    <w:rsid w:val="00817237"/>
    <w:rsid w:val="00817251"/>
    <w:rsid w:val="008205F7"/>
    <w:rsid w:val="00821637"/>
    <w:rsid w:val="0082217F"/>
    <w:rsid w:val="00822536"/>
    <w:rsid w:val="00822736"/>
    <w:rsid w:val="00822B2E"/>
    <w:rsid w:val="00823941"/>
    <w:rsid w:val="00823EC4"/>
    <w:rsid w:val="008240C9"/>
    <w:rsid w:val="0082484C"/>
    <w:rsid w:val="00824A65"/>
    <w:rsid w:val="008257B3"/>
    <w:rsid w:val="008257C7"/>
    <w:rsid w:val="00826526"/>
    <w:rsid w:val="00826579"/>
    <w:rsid w:val="00826932"/>
    <w:rsid w:val="00827259"/>
    <w:rsid w:val="0083033C"/>
    <w:rsid w:val="00830414"/>
    <w:rsid w:val="00832272"/>
    <w:rsid w:val="00832750"/>
    <w:rsid w:val="00832C29"/>
    <w:rsid w:val="008331B6"/>
    <w:rsid w:val="008338B8"/>
    <w:rsid w:val="00833B57"/>
    <w:rsid w:val="00833E05"/>
    <w:rsid w:val="00834036"/>
    <w:rsid w:val="0083431D"/>
    <w:rsid w:val="00834B37"/>
    <w:rsid w:val="00834F2C"/>
    <w:rsid w:val="00835FD6"/>
    <w:rsid w:val="00836B68"/>
    <w:rsid w:val="00836D61"/>
    <w:rsid w:val="00836FE9"/>
    <w:rsid w:val="00837321"/>
    <w:rsid w:val="00837713"/>
    <w:rsid w:val="008405CB"/>
    <w:rsid w:val="008406FC"/>
    <w:rsid w:val="00841505"/>
    <w:rsid w:val="00841B3D"/>
    <w:rsid w:val="00841E46"/>
    <w:rsid w:val="008428A9"/>
    <w:rsid w:val="008429E6"/>
    <w:rsid w:val="00843010"/>
    <w:rsid w:val="008432E0"/>
    <w:rsid w:val="00843B07"/>
    <w:rsid w:val="00845536"/>
    <w:rsid w:val="00845803"/>
    <w:rsid w:val="008459F7"/>
    <w:rsid w:val="00846CEA"/>
    <w:rsid w:val="00846F8C"/>
    <w:rsid w:val="00847439"/>
    <w:rsid w:val="008474B5"/>
    <w:rsid w:val="00847A25"/>
    <w:rsid w:val="00847BE8"/>
    <w:rsid w:val="00847E68"/>
    <w:rsid w:val="00851846"/>
    <w:rsid w:val="00851896"/>
    <w:rsid w:val="00851F34"/>
    <w:rsid w:val="008521B6"/>
    <w:rsid w:val="008529E9"/>
    <w:rsid w:val="00852EBA"/>
    <w:rsid w:val="00852F2A"/>
    <w:rsid w:val="008547EF"/>
    <w:rsid w:val="00854B34"/>
    <w:rsid w:val="00854C5A"/>
    <w:rsid w:val="0085560C"/>
    <w:rsid w:val="008559D9"/>
    <w:rsid w:val="00855AAB"/>
    <w:rsid w:val="00855EE4"/>
    <w:rsid w:val="00856A31"/>
    <w:rsid w:val="00856CED"/>
    <w:rsid w:val="0085751B"/>
    <w:rsid w:val="0085757C"/>
    <w:rsid w:val="008576E7"/>
    <w:rsid w:val="008604F3"/>
    <w:rsid w:val="00860981"/>
    <w:rsid w:val="00860BB4"/>
    <w:rsid w:val="0086166A"/>
    <w:rsid w:val="00861887"/>
    <w:rsid w:val="008619CB"/>
    <w:rsid w:val="0086221E"/>
    <w:rsid w:val="0086225E"/>
    <w:rsid w:val="0086225F"/>
    <w:rsid w:val="00862D79"/>
    <w:rsid w:val="00863965"/>
    <w:rsid w:val="00863A0B"/>
    <w:rsid w:val="00863D38"/>
    <w:rsid w:val="00863DB5"/>
    <w:rsid w:val="00863E1A"/>
    <w:rsid w:val="00864E5D"/>
    <w:rsid w:val="008665E2"/>
    <w:rsid w:val="00866674"/>
    <w:rsid w:val="00867479"/>
    <w:rsid w:val="0087026E"/>
    <w:rsid w:val="00870325"/>
    <w:rsid w:val="00870C95"/>
    <w:rsid w:val="00870CA8"/>
    <w:rsid w:val="00870E28"/>
    <w:rsid w:val="00870E35"/>
    <w:rsid w:val="00870E70"/>
    <w:rsid w:val="0087105D"/>
    <w:rsid w:val="00871167"/>
    <w:rsid w:val="008712D7"/>
    <w:rsid w:val="00872425"/>
    <w:rsid w:val="008739AE"/>
    <w:rsid w:val="008753E3"/>
    <w:rsid w:val="0087553E"/>
    <w:rsid w:val="00875654"/>
    <w:rsid w:val="008757A4"/>
    <w:rsid w:val="00875CEF"/>
    <w:rsid w:val="00875D2B"/>
    <w:rsid w:val="00875E44"/>
    <w:rsid w:val="00876721"/>
    <w:rsid w:val="008778FE"/>
    <w:rsid w:val="008779D6"/>
    <w:rsid w:val="00877BFE"/>
    <w:rsid w:val="008802D7"/>
    <w:rsid w:val="008807E6"/>
    <w:rsid w:val="00880822"/>
    <w:rsid w:val="00880AC6"/>
    <w:rsid w:val="00881B0B"/>
    <w:rsid w:val="008821C6"/>
    <w:rsid w:val="00882A4F"/>
    <w:rsid w:val="0088332B"/>
    <w:rsid w:val="00883D96"/>
    <w:rsid w:val="008840B4"/>
    <w:rsid w:val="00884C5E"/>
    <w:rsid w:val="008855B3"/>
    <w:rsid w:val="00885F8F"/>
    <w:rsid w:val="00886436"/>
    <w:rsid w:val="0088655B"/>
    <w:rsid w:val="00886EE2"/>
    <w:rsid w:val="00886FB4"/>
    <w:rsid w:val="008873B2"/>
    <w:rsid w:val="0089039E"/>
    <w:rsid w:val="00891307"/>
    <w:rsid w:val="00891850"/>
    <w:rsid w:val="00891F64"/>
    <w:rsid w:val="008926F7"/>
    <w:rsid w:val="008928B9"/>
    <w:rsid w:val="00893159"/>
    <w:rsid w:val="008938AD"/>
    <w:rsid w:val="00893BEA"/>
    <w:rsid w:val="008954FC"/>
    <w:rsid w:val="00895B88"/>
    <w:rsid w:val="00896345"/>
    <w:rsid w:val="0089666D"/>
    <w:rsid w:val="00896C5C"/>
    <w:rsid w:val="00897C9D"/>
    <w:rsid w:val="00897EC1"/>
    <w:rsid w:val="008A1393"/>
    <w:rsid w:val="008A17AA"/>
    <w:rsid w:val="008A1ADE"/>
    <w:rsid w:val="008A1E38"/>
    <w:rsid w:val="008A1ED3"/>
    <w:rsid w:val="008A1FBC"/>
    <w:rsid w:val="008A22B4"/>
    <w:rsid w:val="008A2393"/>
    <w:rsid w:val="008A2551"/>
    <w:rsid w:val="008A2D6D"/>
    <w:rsid w:val="008A3780"/>
    <w:rsid w:val="008A38AE"/>
    <w:rsid w:val="008A3A08"/>
    <w:rsid w:val="008A41BA"/>
    <w:rsid w:val="008A48A6"/>
    <w:rsid w:val="008A49E7"/>
    <w:rsid w:val="008A4AE6"/>
    <w:rsid w:val="008A4F2D"/>
    <w:rsid w:val="008A4F93"/>
    <w:rsid w:val="008A5032"/>
    <w:rsid w:val="008A55D3"/>
    <w:rsid w:val="008A5A0C"/>
    <w:rsid w:val="008A5AEE"/>
    <w:rsid w:val="008A6222"/>
    <w:rsid w:val="008A62F8"/>
    <w:rsid w:val="008A65C1"/>
    <w:rsid w:val="008A6B31"/>
    <w:rsid w:val="008A716C"/>
    <w:rsid w:val="008A7249"/>
    <w:rsid w:val="008B0492"/>
    <w:rsid w:val="008B144D"/>
    <w:rsid w:val="008B2133"/>
    <w:rsid w:val="008B2551"/>
    <w:rsid w:val="008B281B"/>
    <w:rsid w:val="008B2D2E"/>
    <w:rsid w:val="008B2EAE"/>
    <w:rsid w:val="008B3352"/>
    <w:rsid w:val="008B43A9"/>
    <w:rsid w:val="008B4AC4"/>
    <w:rsid w:val="008B501C"/>
    <w:rsid w:val="008B530F"/>
    <w:rsid w:val="008B6423"/>
    <w:rsid w:val="008B6E74"/>
    <w:rsid w:val="008B70EB"/>
    <w:rsid w:val="008B7861"/>
    <w:rsid w:val="008B78CC"/>
    <w:rsid w:val="008C0CAA"/>
    <w:rsid w:val="008C12DA"/>
    <w:rsid w:val="008C2556"/>
    <w:rsid w:val="008C280F"/>
    <w:rsid w:val="008C3B2C"/>
    <w:rsid w:val="008C409A"/>
    <w:rsid w:val="008C6C47"/>
    <w:rsid w:val="008C71A1"/>
    <w:rsid w:val="008C74FA"/>
    <w:rsid w:val="008C7657"/>
    <w:rsid w:val="008C76F4"/>
    <w:rsid w:val="008C7D32"/>
    <w:rsid w:val="008D04AD"/>
    <w:rsid w:val="008D1D8F"/>
    <w:rsid w:val="008D2266"/>
    <w:rsid w:val="008D273A"/>
    <w:rsid w:val="008D2842"/>
    <w:rsid w:val="008D2CDA"/>
    <w:rsid w:val="008D2E35"/>
    <w:rsid w:val="008D395D"/>
    <w:rsid w:val="008D3CFE"/>
    <w:rsid w:val="008D49C4"/>
    <w:rsid w:val="008D4DC9"/>
    <w:rsid w:val="008D58FE"/>
    <w:rsid w:val="008D5B00"/>
    <w:rsid w:val="008D5EE7"/>
    <w:rsid w:val="008D686A"/>
    <w:rsid w:val="008E0EA3"/>
    <w:rsid w:val="008E1C21"/>
    <w:rsid w:val="008E1FF3"/>
    <w:rsid w:val="008E2A2B"/>
    <w:rsid w:val="008E2D25"/>
    <w:rsid w:val="008E32E4"/>
    <w:rsid w:val="008E386F"/>
    <w:rsid w:val="008E42DE"/>
    <w:rsid w:val="008E46A0"/>
    <w:rsid w:val="008E47C0"/>
    <w:rsid w:val="008E53B8"/>
    <w:rsid w:val="008E67AE"/>
    <w:rsid w:val="008E6A7B"/>
    <w:rsid w:val="008E6AAA"/>
    <w:rsid w:val="008E6F36"/>
    <w:rsid w:val="008E7EE6"/>
    <w:rsid w:val="008F1391"/>
    <w:rsid w:val="008F1F69"/>
    <w:rsid w:val="008F226D"/>
    <w:rsid w:val="008F29E3"/>
    <w:rsid w:val="008F39AE"/>
    <w:rsid w:val="008F4276"/>
    <w:rsid w:val="008F42E7"/>
    <w:rsid w:val="008F48C6"/>
    <w:rsid w:val="008F4DC1"/>
    <w:rsid w:val="008F5D7C"/>
    <w:rsid w:val="008F7A08"/>
    <w:rsid w:val="009003AE"/>
    <w:rsid w:val="0090084B"/>
    <w:rsid w:val="00900A94"/>
    <w:rsid w:val="00901926"/>
    <w:rsid w:val="00901D69"/>
    <w:rsid w:val="00901FD9"/>
    <w:rsid w:val="00902269"/>
    <w:rsid w:val="0090240E"/>
    <w:rsid w:val="0090243D"/>
    <w:rsid w:val="009028B2"/>
    <w:rsid w:val="00903102"/>
    <w:rsid w:val="00904C27"/>
    <w:rsid w:val="00905042"/>
    <w:rsid w:val="009052B7"/>
    <w:rsid w:val="009055B0"/>
    <w:rsid w:val="00905862"/>
    <w:rsid w:val="009065AE"/>
    <w:rsid w:val="00907F32"/>
    <w:rsid w:val="00910BBE"/>
    <w:rsid w:val="00910C8C"/>
    <w:rsid w:val="00911452"/>
    <w:rsid w:val="00911A90"/>
    <w:rsid w:val="00911BB5"/>
    <w:rsid w:val="00912258"/>
    <w:rsid w:val="009122C2"/>
    <w:rsid w:val="00912329"/>
    <w:rsid w:val="00912D23"/>
    <w:rsid w:val="009132BD"/>
    <w:rsid w:val="00913783"/>
    <w:rsid w:val="00913E89"/>
    <w:rsid w:val="00914518"/>
    <w:rsid w:val="0091495E"/>
    <w:rsid w:val="00915334"/>
    <w:rsid w:val="00915A9B"/>
    <w:rsid w:val="00915DA3"/>
    <w:rsid w:val="00916050"/>
    <w:rsid w:val="0091619B"/>
    <w:rsid w:val="009167AC"/>
    <w:rsid w:val="00916CC3"/>
    <w:rsid w:val="00917D77"/>
    <w:rsid w:val="00920541"/>
    <w:rsid w:val="00920BF9"/>
    <w:rsid w:val="00920FEE"/>
    <w:rsid w:val="009212A2"/>
    <w:rsid w:val="0092199A"/>
    <w:rsid w:val="00922A88"/>
    <w:rsid w:val="00922C6E"/>
    <w:rsid w:val="009233EF"/>
    <w:rsid w:val="0092399A"/>
    <w:rsid w:val="00923A54"/>
    <w:rsid w:val="009241FE"/>
    <w:rsid w:val="00924E06"/>
    <w:rsid w:val="00924E69"/>
    <w:rsid w:val="009258E9"/>
    <w:rsid w:val="00925FDA"/>
    <w:rsid w:val="00926350"/>
    <w:rsid w:val="009263B7"/>
    <w:rsid w:val="00927F04"/>
    <w:rsid w:val="009309E5"/>
    <w:rsid w:val="00931118"/>
    <w:rsid w:val="009311AD"/>
    <w:rsid w:val="00931F5A"/>
    <w:rsid w:val="00932074"/>
    <w:rsid w:val="00932546"/>
    <w:rsid w:val="00932661"/>
    <w:rsid w:val="00933197"/>
    <w:rsid w:val="00934909"/>
    <w:rsid w:val="00934E7C"/>
    <w:rsid w:val="0093505B"/>
    <w:rsid w:val="009351CA"/>
    <w:rsid w:val="009358F5"/>
    <w:rsid w:val="00935A78"/>
    <w:rsid w:val="00935AC1"/>
    <w:rsid w:val="009363E3"/>
    <w:rsid w:val="009369E0"/>
    <w:rsid w:val="00940510"/>
    <w:rsid w:val="00940780"/>
    <w:rsid w:val="0094145F"/>
    <w:rsid w:val="00942375"/>
    <w:rsid w:val="0094245B"/>
    <w:rsid w:val="009428FD"/>
    <w:rsid w:val="009434F3"/>
    <w:rsid w:val="00943BDD"/>
    <w:rsid w:val="00944014"/>
    <w:rsid w:val="00944B97"/>
    <w:rsid w:val="00945468"/>
    <w:rsid w:val="0094658F"/>
    <w:rsid w:val="00946900"/>
    <w:rsid w:val="00946A91"/>
    <w:rsid w:val="00946E99"/>
    <w:rsid w:val="00947ADC"/>
    <w:rsid w:val="00947C93"/>
    <w:rsid w:val="00950060"/>
    <w:rsid w:val="009502C8"/>
    <w:rsid w:val="009512C8"/>
    <w:rsid w:val="00951C10"/>
    <w:rsid w:val="00951C35"/>
    <w:rsid w:val="00951C71"/>
    <w:rsid w:val="009523F2"/>
    <w:rsid w:val="00953077"/>
    <w:rsid w:val="009540CC"/>
    <w:rsid w:val="0095456D"/>
    <w:rsid w:val="009549BB"/>
    <w:rsid w:val="00954ED0"/>
    <w:rsid w:val="00954FC2"/>
    <w:rsid w:val="0095554A"/>
    <w:rsid w:val="00955C0F"/>
    <w:rsid w:val="00956789"/>
    <w:rsid w:val="009567DF"/>
    <w:rsid w:val="009574DB"/>
    <w:rsid w:val="0096042C"/>
    <w:rsid w:val="009605D0"/>
    <w:rsid w:val="00960C88"/>
    <w:rsid w:val="00961191"/>
    <w:rsid w:val="009614A7"/>
    <w:rsid w:val="009620C0"/>
    <w:rsid w:val="009630F5"/>
    <w:rsid w:val="0096328C"/>
    <w:rsid w:val="00963394"/>
    <w:rsid w:val="00964205"/>
    <w:rsid w:val="00965422"/>
    <w:rsid w:val="00965730"/>
    <w:rsid w:val="00966079"/>
    <w:rsid w:val="0096630F"/>
    <w:rsid w:val="009663E3"/>
    <w:rsid w:val="00966686"/>
    <w:rsid w:val="00966846"/>
    <w:rsid w:val="0096691D"/>
    <w:rsid w:val="00966A77"/>
    <w:rsid w:val="00967396"/>
    <w:rsid w:val="00967D50"/>
    <w:rsid w:val="00970391"/>
    <w:rsid w:val="0097055B"/>
    <w:rsid w:val="009709E8"/>
    <w:rsid w:val="00970B99"/>
    <w:rsid w:val="00971325"/>
    <w:rsid w:val="00971692"/>
    <w:rsid w:val="00971C38"/>
    <w:rsid w:val="00973916"/>
    <w:rsid w:val="00974304"/>
    <w:rsid w:val="00974939"/>
    <w:rsid w:val="00974C6E"/>
    <w:rsid w:val="00975073"/>
    <w:rsid w:val="00975FAB"/>
    <w:rsid w:val="00976604"/>
    <w:rsid w:val="00976A53"/>
    <w:rsid w:val="0097743C"/>
    <w:rsid w:val="00980F47"/>
    <w:rsid w:val="009810AE"/>
    <w:rsid w:val="00981948"/>
    <w:rsid w:val="00981BAB"/>
    <w:rsid w:val="00983227"/>
    <w:rsid w:val="00983392"/>
    <w:rsid w:val="00983653"/>
    <w:rsid w:val="009836A2"/>
    <w:rsid w:val="00984529"/>
    <w:rsid w:val="00984DB5"/>
    <w:rsid w:val="009853B7"/>
    <w:rsid w:val="00985CF7"/>
    <w:rsid w:val="00985F76"/>
    <w:rsid w:val="00986254"/>
    <w:rsid w:val="009865C8"/>
    <w:rsid w:val="009868BB"/>
    <w:rsid w:val="00987956"/>
    <w:rsid w:val="00990543"/>
    <w:rsid w:val="0099056E"/>
    <w:rsid w:val="009908F5"/>
    <w:rsid w:val="009909A2"/>
    <w:rsid w:val="00990D9F"/>
    <w:rsid w:val="00990F2E"/>
    <w:rsid w:val="009913B7"/>
    <w:rsid w:val="00991E5B"/>
    <w:rsid w:val="009922EC"/>
    <w:rsid w:val="00992A27"/>
    <w:rsid w:val="00992C1E"/>
    <w:rsid w:val="00993793"/>
    <w:rsid w:val="009941B2"/>
    <w:rsid w:val="0099427F"/>
    <w:rsid w:val="00994649"/>
    <w:rsid w:val="00994F37"/>
    <w:rsid w:val="00994FBB"/>
    <w:rsid w:val="00995C8C"/>
    <w:rsid w:val="00996292"/>
    <w:rsid w:val="00996E6F"/>
    <w:rsid w:val="00997C34"/>
    <w:rsid w:val="009A00D0"/>
    <w:rsid w:val="009A0757"/>
    <w:rsid w:val="009A0A71"/>
    <w:rsid w:val="009A1CCB"/>
    <w:rsid w:val="009A2697"/>
    <w:rsid w:val="009A2C8F"/>
    <w:rsid w:val="009A4019"/>
    <w:rsid w:val="009A4364"/>
    <w:rsid w:val="009A5157"/>
    <w:rsid w:val="009A5A23"/>
    <w:rsid w:val="009A5F21"/>
    <w:rsid w:val="009A6036"/>
    <w:rsid w:val="009A6C48"/>
    <w:rsid w:val="009A7027"/>
    <w:rsid w:val="009A7576"/>
    <w:rsid w:val="009A7850"/>
    <w:rsid w:val="009B0392"/>
    <w:rsid w:val="009B049D"/>
    <w:rsid w:val="009B04D5"/>
    <w:rsid w:val="009B098F"/>
    <w:rsid w:val="009B0AF1"/>
    <w:rsid w:val="009B1380"/>
    <w:rsid w:val="009B1523"/>
    <w:rsid w:val="009B15AB"/>
    <w:rsid w:val="009B1C5E"/>
    <w:rsid w:val="009B3B99"/>
    <w:rsid w:val="009B3F8D"/>
    <w:rsid w:val="009B4083"/>
    <w:rsid w:val="009B4653"/>
    <w:rsid w:val="009B49F9"/>
    <w:rsid w:val="009B4F3C"/>
    <w:rsid w:val="009B5053"/>
    <w:rsid w:val="009B528F"/>
    <w:rsid w:val="009B52CE"/>
    <w:rsid w:val="009B53D8"/>
    <w:rsid w:val="009B55EF"/>
    <w:rsid w:val="009B5696"/>
    <w:rsid w:val="009B573A"/>
    <w:rsid w:val="009B604B"/>
    <w:rsid w:val="009B61CE"/>
    <w:rsid w:val="009B649D"/>
    <w:rsid w:val="009B71ED"/>
    <w:rsid w:val="009C0376"/>
    <w:rsid w:val="009C0480"/>
    <w:rsid w:val="009C090E"/>
    <w:rsid w:val="009C0A04"/>
    <w:rsid w:val="009C0C03"/>
    <w:rsid w:val="009C0E6B"/>
    <w:rsid w:val="009C1AA0"/>
    <w:rsid w:val="009C1C63"/>
    <w:rsid w:val="009C219F"/>
    <w:rsid w:val="009C3039"/>
    <w:rsid w:val="009C3486"/>
    <w:rsid w:val="009C3883"/>
    <w:rsid w:val="009C46AA"/>
    <w:rsid w:val="009C495E"/>
    <w:rsid w:val="009C5064"/>
    <w:rsid w:val="009C50DD"/>
    <w:rsid w:val="009C62B5"/>
    <w:rsid w:val="009C6BFD"/>
    <w:rsid w:val="009C741D"/>
    <w:rsid w:val="009D1123"/>
    <w:rsid w:val="009D1962"/>
    <w:rsid w:val="009D1D4C"/>
    <w:rsid w:val="009D419B"/>
    <w:rsid w:val="009D5B73"/>
    <w:rsid w:val="009D6338"/>
    <w:rsid w:val="009D6709"/>
    <w:rsid w:val="009D6AFF"/>
    <w:rsid w:val="009D7C2C"/>
    <w:rsid w:val="009E07F4"/>
    <w:rsid w:val="009E1B3C"/>
    <w:rsid w:val="009E27E4"/>
    <w:rsid w:val="009E3329"/>
    <w:rsid w:val="009E3D6C"/>
    <w:rsid w:val="009E42F4"/>
    <w:rsid w:val="009E4512"/>
    <w:rsid w:val="009E4B4A"/>
    <w:rsid w:val="009E5A58"/>
    <w:rsid w:val="009E6BD6"/>
    <w:rsid w:val="009E6C4C"/>
    <w:rsid w:val="009E6CB0"/>
    <w:rsid w:val="009E6CC7"/>
    <w:rsid w:val="009E7D4C"/>
    <w:rsid w:val="009F001C"/>
    <w:rsid w:val="009F04D5"/>
    <w:rsid w:val="009F1082"/>
    <w:rsid w:val="009F11AB"/>
    <w:rsid w:val="009F14C8"/>
    <w:rsid w:val="009F191A"/>
    <w:rsid w:val="009F2AAD"/>
    <w:rsid w:val="009F311B"/>
    <w:rsid w:val="009F381B"/>
    <w:rsid w:val="009F48BE"/>
    <w:rsid w:val="009F4AB6"/>
    <w:rsid w:val="009F4CB1"/>
    <w:rsid w:val="009F5492"/>
    <w:rsid w:val="009F589E"/>
    <w:rsid w:val="009F5910"/>
    <w:rsid w:val="009F5FBB"/>
    <w:rsid w:val="009F6B06"/>
    <w:rsid w:val="009F6EC8"/>
    <w:rsid w:val="009F7108"/>
    <w:rsid w:val="009F75FD"/>
    <w:rsid w:val="00A00492"/>
    <w:rsid w:val="00A012AB"/>
    <w:rsid w:val="00A013E6"/>
    <w:rsid w:val="00A01B37"/>
    <w:rsid w:val="00A01E0E"/>
    <w:rsid w:val="00A02052"/>
    <w:rsid w:val="00A020FA"/>
    <w:rsid w:val="00A02CCC"/>
    <w:rsid w:val="00A03262"/>
    <w:rsid w:val="00A03850"/>
    <w:rsid w:val="00A03996"/>
    <w:rsid w:val="00A03E4F"/>
    <w:rsid w:val="00A03F79"/>
    <w:rsid w:val="00A040A3"/>
    <w:rsid w:val="00A044EB"/>
    <w:rsid w:val="00A04B32"/>
    <w:rsid w:val="00A04DE9"/>
    <w:rsid w:val="00A05225"/>
    <w:rsid w:val="00A05A48"/>
    <w:rsid w:val="00A05AEC"/>
    <w:rsid w:val="00A05E99"/>
    <w:rsid w:val="00A0611A"/>
    <w:rsid w:val="00A07B91"/>
    <w:rsid w:val="00A07EBD"/>
    <w:rsid w:val="00A10891"/>
    <w:rsid w:val="00A10E15"/>
    <w:rsid w:val="00A111A5"/>
    <w:rsid w:val="00A11573"/>
    <w:rsid w:val="00A11AE7"/>
    <w:rsid w:val="00A11BEF"/>
    <w:rsid w:val="00A121B0"/>
    <w:rsid w:val="00A124A3"/>
    <w:rsid w:val="00A12DF4"/>
    <w:rsid w:val="00A12F2D"/>
    <w:rsid w:val="00A1323C"/>
    <w:rsid w:val="00A1334F"/>
    <w:rsid w:val="00A13917"/>
    <w:rsid w:val="00A13A0E"/>
    <w:rsid w:val="00A148CC"/>
    <w:rsid w:val="00A148F0"/>
    <w:rsid w:val="00A14A36"/>
    <w:rsid w:val="00A14ABD"/>
    <w:rsid w:val="00A159CF"/>
    <w:rsid w:val="00A15A1C"/>
    <w:rsid w:val="00A15D0F"/>
    <w:rsid w:val="00A16063"/>
    <w:rsid w:val="00A17196"/>
    <w:rsid w:val="00A174C4"/>
    <w:rsid w:val="00A20835"/>
    <w:rsid w:val="00A209F4"/>
    <w:rsid w:val="00A22864"/>
    <w:rsid w:val="00A22F61"/>
    <w:rsid w:val="00A2349E"/>
    <w:rsid w:val="00A23AB4"/>
    <w:rsid w:val="00A23FBA"/>
    <w:rsid w:val="00A248A1"/>
    <w:rsid w:val="00A24D12"/>
    <w:rsid w:val="00A2525A"/>
    <w:rsid w:val="00A25A62"/>
    <w:rsid w:val="00A26358"/>
    <w:rsid w:val="00A271C4"/>
    <w:rsid w:val="00A30977"/>
    <w:rsid w:val="00A3248A"/>
    <w:rsid w:val="00A32BDB"/>
    <w:rsid w:val="00A332D4"/>
    <w:rsid w:val="00A34B33"/>
    <w:rsid w:val="00A354A1"/>
    <w:rsid w:val="00A35887"/>
    <w:rsid w:val="00A358F2"/>
    <w:rsid w:val="00A35EA0"/>
    <w:rsid w:val="00A363DD"/>
    <w:rsid w:val="00A3643B"/>
    <w:rsid w:val="00A36693"/>
    <w:rsid w:val="00A36EDF"/>
    <w:rsid w:val="00A372DF"/>
    <w:rsid w:val="00A37EEF"/>
    <w:rsid w:val="00A40148"/>
    <w:rsid w:val="00A40354"/>
    <w:rsid w:val="00A41F2F"/>
    <w:rsid w:val="00A43302"/>
    <w:rsid w:val="00A4350E"/>
    <w:rsid w:val="00A43F76"/>
    <w:rsid w:val="00A44CB4"/>
    <w:rsid w:val="00A44DCB"/>
    <w:rsid w:val="00A4520B"/>
    <w:rsid w:val="00A45EF0"/>
    <w:rsid w:val="00A46E49"/>
    <w:rsid w:val="00A4709F"/>
    <w:rsid w:val="00A47356"/>
    <w:rsid w:val="00A474E3"/>
    <w:rsid w:val="00A47A88"/>
    <w:rsid w:val="00A47FB4"/>
    <w:rsid w:val="00A50C1B"/>
    <w:rsid w:val="00A523F4"/>
    <w:rsid w:val="00A52B8A"/>
    <w:rsid w:val="00A52BC7"/>
    <w:rsid w:val="00A52F11"/>
    <w:rsid w:val="00A53483"/>
    <w:rsid w:val="00A538D3"/>
    <w:rsid w:val="00A539A7"/>
    <w:rsid w:val="00A545AD"/>
    <w:rsid w:val="00A55B6D"/>
    <w:rsid w:val="00A55D13"/>
    <w:rsid w:val="00A55E12"/>
    <w:rsid w:val="00A563AA"/>
    <w:rsid w:val="00A564E7"/>
    <w:rsid w:val="00A569FC"/>
    <w:rsid w:val="00A57064"/>
    <w:rsid w:val="00A5757B"/>
    <w:rsid w:val="00A57E06"/>
    <w:rsid w:val="00A600D1"/>
    <w:rsid w:val="00A60406"/>
    <w:rsid w:val="00A60827"/>
    <w:rsid w:val="00A623F4"/>
    <w:rsid w:val="00A65564"/>
    <w:rsid w:val="00A65B01"/>
    <w:rsid w:val="00A660E8"/>
    <w:rsid w:val="00A661FF"/>
    <w:rsid w:val="00A664F3"/>
    <w:rsid w:val="00A6664A"/>
    <w:rsid w:val="00A668D0"/>
    <w:rsid w:val="00A67042"/>
    <w:rsid w:val="00A6741B"/>
    <w:rsid w:val="00A67DF8"/>
    <w:rsid w:val="00A67FF6"/>
    <w:rsid w:val="00A70BA8"/>
    <w:rsid w:val="00A71054"/>
    <w:rsid w:val="00A711FE"/>
    <w:rsid w:val="00A712DD"/>
    <w:rsid w:val="00A72009"/>
    <w:rsid w:val="00A723C4"/>
    <w:rsid w:val="00A723D4"/>
    <w:rsid w:val="00A72657"/>
    <w:rsid w:val="00A74718"/>
    <w:rsid w:val="00A74946"/>
    <w:rsid w:val="00A74DA9"/>
    <w:rsid w:val="00A75671"/>
    <w:rsid w:val="00A7592D"/>
    <w:rsid w:val="00A7593F"/>
    <w:rsid w:val="00A75BA2"/>
    <w:rsid w:val="00A75D60"/>
    <w:rsid w:val="00A75F3A"/>
    <w:rsid w:val="00A75FAA"/>
    <w:rsid w:val="00A76D80"/>
    <w:rsid w:val="00A76E17"/>
    <w:rsid w:val="00A76E3F"/>
    <w:rsid w:val="00A77379"/>
    <w:rsid w:val="00A77685"/>
    <w:rsid w:val="00A7771A"/>
    <w:rsid w:val="00A77882"/>
    <w:rsid w:val="00A801D8"/>
    <w:rsid w:val="00A806B8"/>
    <w:rsid w:val="00A80A08"/>
    <w:rsid w:val="00A81407"/>
    <w:rsid w:val="00A81AD7"/>
    <w:rsid w:val="00A81EEC"/>
    <w:rsid w:val="00A8231C"/>
    <w:rsid w:val="00A8311A"/>
    <w:rsid w:val="00A834C3"/>
    <w:rsid w:val="00A83886"/>
    <w:rsid w:val="00A83B54"/>
    <w:rsid w:val="00A83C63"/>
    <w:rsid w:val="00A845A3"/>
    <w:rsid w:val="00A84B61"/>
    <w:rsid w:val="00A84C1B"/>
    <w:rsid w:val="00A85269"/>
    <w:rsid w:val="00A855EC"/>
    <w:rsid w:val="00A85F87"/>
    <w:rsid w:val="00A87DF9"/>
    <w:rsid w:val="00A87EF7"/>
    <w:rsid w:val="00A91298"/>
    <w:rsid w:val="00A91741"/>
    <w:rsid w:val="00A91B26"/>
    <w:rsid w:val="00A91DCE"/>
    <w:rsid w:val="00A91E48"/>
    <w:rsid w:val="00A923EF"/>
    <w:rsid w:val="00A948DF"/>
    <w:rsid w:val="00A94F9F"/>
    <w:rsid w:val="00A95365"/>
    <w:rsid w:val="00A954F7"/>
    <w:rsid w:val="00A95D46"/>
    <w:rsid w:val="00A9678D"/>
    <w:rsid w:val="00A967B0"/>
    <w:rsid w:val="00A96DAF"/>
    <w:rsid w:val="00A974B0"/>
    <w:rsid w:val="00A97B2A"/>
    <w:rsid w:val="00A97FAA"/>
    <w:rsid w:val="00AA07E5"/>
    <w:rsid w:val="00AA08EB"/>
    <w:rsid w:val="00AA196F"/>
    <w:rsid w:val="00AA1977"/>
    <w:rsid w:val="00AA1EF1"/>
    <w:rsid w:val="00AA2C9C"/>
    <w:rsid w:val="00AA3CA5"/>
    <w:rsid w:val="00AA3E4B"/>
    <w:rsid w:val="00AA4255"/>
    <w:rsid w:val="00AA4AAC"/>
    <w:rsid w:val="00AA4CE5"/>
    <w:rsid w:val="00AA4DD2"/>
    <w:rsid w:val="00AA4E4C"/>
    <w:rsid w:val="00AA4FB4"/>
    <w:rsid w:val="00AA50FD"/>
    <w:rsid w:val="00AA588B"/>
    <w:rsid w:val="00AA5EAD"/>
    <w:rsid w:val="00AA5EE2"/>
    <w:rsid w:val="00AA65FA"/>
    <w:rsid w:val="00AA705B"/>
    <w:rsid w:val="00AA745E"/>
    <w:rsid w:val="00AA793D"/>
    <w:rsid w:val="00AB0319"/>
    <w:rsid w:val="00AB03F1"/>
    <w:rsid w:val="00AB12B4"/>
    <w:rsid w:val="00AB2155"/>
    <w:rsid w:val="00AB2F32"/>
    <w:rsid w:val="00AB332E"/>
    <w:rsid w:val="00AB3D9D"/>
    <w:rsid w:val="00AB3DE4"/>
    <w:rsid w:val="00AB43F0"/>
    <w:rsid w:val="00AB444A"/>
    <w:rsid w:val="00AB4C1C"/>
    <w:rsid w:val="00AB4C93"/>
    <w:rsid w:val="00AB4F21"/>
    <w:rsid w:val="00AB524C"/>
    <w:rsid w:val="00AB5FAA"/>
    <w:rsid w:val="00AB6DFD"/>
    <w:rsid w:val="00AB7078"/>
    <w:rsid w:val="00AB70A6"/>
    <w:rsid w:val="00AB72A1"/>
    <w:rsid w:val="00AB733A"/>
    <w:rsid w:val="00AB77F2"/>
    <w:rsid w:val="00AB7B69"/>
    <w:rsid w:val="00AC0746"/>
    <w:rsid w:val="00AC074C"/>
    <w:rsid w:val="00AC07DC"/>
    <w:rsid w:val="00AC0CF7"/>
    <w:rsid w:val="00AC0D79"/>
    <w:rsid w:val="00AC0F99"/>
    <w:rsid w:val="00AC1564"/>
    <w:rsid w:val="00AC2772"/>
    <w:rsid w:val="00AC28DE"/>
    <w:rsid w:val="00AC36EC"/>
    <w:rsid w:val="00AC51A7"/>
    <w:rsid w:val="00AC5266"/>
    <w:rsid w:val="00AC55C2"/>
    <w:rsid w:val="00AC598E"/>
    <w:rsid w:val="00AC60DF"/>
    <w:rsid w:val="00AC6217"/>
    <w:rsid w:val="00AC71C5"/>
    <w:rsid w:val="00AC7710"/>
    <w:rsid w:val="00AC79C7"/>
    <w:rsid w:val="00AC7BFA"/>
    <w:rsid w:val="00AD051D"/>
    <w:rsid w:val="00AD09EA"/>
    <w:rsid w:val="00AD1211"/>
    <w:rsid w:val="00AD17DF"/>
    <w:rsid w:val="00AD1D1F"/>
    <w:rsid w:val="00AD1F04"/>
    <w:rsid w:val="00AD27D3"/>
    <w:rsid w:val="00AD456F"/>
    <w:rsid w:val="00AD4D46"/>
    <w:rsid w:val="00AD62D0"/>
    <w:rsid w:val="00AD6AA3"/>
    <w:rsid w:val="00AD6EBC"/>
    <w:rsid w:val="00AD71C5"/>
    <w:rsid w:val="00AE049C"/>
    <w:rsid w:val="00AE0598"/>
    <w:rsid w:val="00AE0C97"/>
    <w:rsid w:val="00AE1221"/>
    <w:rsid w:val="00AE1B1A"/>
    <w:rsid w:val="00AE1EB7"/>
    <w:rsid w:val="00AE2A1B"/>
    <w:rsid w:val="00AE2B5F"/>
    <w:rsid w:val="00AE2F11"/>
    <w:rsid w:val="00AE4659"/>
    <w:rsid w:val="00AE560E"/>
    <w:rsid w:val="00AE5DB1"/>
    <w:rsid w:val="00AE6561"/>
    <w:rsid w:val="00AE6797"/>
    <w:rsid w:val="00AE6BB2"/>
    <w:rsid w:val="00AE6D7E"/>
    <w:rsid w:val="00AF04AC"/>
    <w:rsid w:val="00AF0644"/>
    <w:rsid w:val="00AF0A88"/>
    <w:rsid w:val="00AF11E7"/>
    <w:rsid w:val="00AF1D60"/>
    <w:rsid w:val="00AF2712"/>
    <w:rsid w:val="00AF2EE6"/>
    <w:rsid w:val="00AF33B9"/>
    <w:rsid w:val="00AF35A3"/>
    <w:rsid w:val="00AF3732"/>
    <w:rsid w:val="00AF4968"/>
    <w:rsid w:val="00AF4F07"/>
    <w:rsid w:val="00AF517F"/>
    <w:rsid w:val="00AF5B6B"/>
    <w:rsid w:val="00AF694B"/>
    <w:rsid w:val="00AF6B0C"/>
    <w:rsid w:val="00AF6C16"/>
    <w:rsid w:val="00AF6C6A"/>
    <w:rsid w:val="00AF7A71"/>
    <w:rsid w:val="00AF7ABB"/>
    <w:rsid w:val="00AF7C5A"/>
    <w:rsid w:val="00B0088F"/>
    <w:rsid w:val="00B009E6"/>
    <w:rsid w:val="00B00BD2"/>
    <w:rsid w:val="00B01858"/>
    <w:rsid w:val="00B01ADB"/>
    <w:rsid w:val="00B01D53"/>
    <w:rsid w:val="00B0262B"/>
    <w:rsid w:val="00B02C62"/>
    <w:rsid w:val="00B02CB3"/>
    <w:rsid w:val="00B03965"/>
    <w:rsid w:val="00B03CF0"/>
    <w:rsid w:val="00B04294"/>
    <w:rsid w:val="00B050B7"/>
    <w:rsid w:val="00B051BE"/>
    <w:rsid w:val="00B053F5"/>
    <w:rsid w:val="00B06DDC"/>
    <w:rsid w:val="00B077D1"/>
    <w:rsid w:val="00B07B27"/>
    <w:rsid w:val="00B07B88"/>
    <w:rsid w:val="00B109B8"/>
    <w:rsid w:val="00B1195A"/>
    <w:rsid w:val="00B1255C"/>
    <w:rsid w:val="00B12F32"/>
    <w:rsid w:val="00B130D4"/>
    <w:rsid w:val="00B136EE"/>
    <w:rsid w:val="00B13763"/>
    <w:rsid w:val="00B13A62"/>
    <w:rsid w:val="00B14D70"/>
    <w:rsid w:val="00B15558"/>
    <w:rsid w:val="00B16053"/>
    <w:rsid w:val="00B16230"/>
    <w:rsid w:val="00B16C33"/>
    <w:rsid w:val="00B16C6D"/>
    <w:rsid w:val="00B1731B"/>
    <w:rsid w:val="00B176BA"/>
    <w:rsid w:val="00B178A7"/>
    <w:rsid w:val="00B17C4B"/>
    <w:rsid w:val="00B2025F"/>
    <w:rsid w:val="00B204A5"/>
    <w:rsid w:val="00B20C7F"/>
    <w:rsid w:val="00B21193"/>
    <w:rsid w:val="00B21931"/>
    <w:rsid w:val="00B22022"/>
    <w:rsid w:val="00B22213"/>
    <w:rsid w:val="00B228F9"/>
    <w:rsid w:val="00B229D2"/>
    <w:rsid w:val="00B22D8F"/>
    <w:rsid w:val="00B23302"/>
    <w:rsid w:val="00B2376B"/>
    <w:rsid w:val="00B23905"/>
    <w:rsid w:val="00B23C90"/>
    <w:rsid w:val="00B23D81"/>
    <w:rsid w:val="00B24BC4"/>
    <w:rsid w:val="00B24ECE"/>
    <w:rsid w:val="00B24FB2"/>
    <w:rsid w:val="00B2610F"/>
    <w:rsid w:val="00B263EE"/>
    <w:rsid w:val="00B272A3"/>
    <w:rsid w:val="00B3012D"/>
    <w:rsid w:val="00B3048F"/>
    <w:rsid w:val="00B30CC3"/>
    <w:rsid w:val="00B312C0"/>
    <w:rsid w:val="00B319AB"/>
    <w:rsid w:val="00B31D7B"/>
    <w:rsid w:val="00B32E5B"/>
    <w:rsid w:val="00B332D7"/>
    <w:rsid w:val="00B33FB3"/>
    <w:rsid w:val="00B3489D"/>
    <w:rsid w:val="00B34CB5"/>
    <w:rsid w:val="00B3612F"/>
    <w:rsid w:val="00B36565"/>
    <w:rsid w:val="00B37000"/>
    <w:rsid w:val="00B378E8"/>
    <w:rsid w:val="00B37E03"/>
    <w:rsid w:val="00B408F4"/>
    <w:rsid w:val="00B40A05"/>
    <w:rsid w:val="00B41266"/>
    <w:rsid w:val="00B412E7"/>
    <w:rsid w:val="00B415AF"/>
    <w:rsid w:val="00B41D94"/>
    <w:rsid w:val="00B4214E"/>
    <w:rsid w:val="00B4257D"/>
    <w:rsid w:val="00B42E00"/>
    <w:rsid w:val="00B43DB9"/>
    <w:rsid w:val="00B43E02"/>
    <w:rsid w:val="00B47D3D"/>
    <w:rsid w:val="00B505EB"/>
    <w:rsid w:val="00B514E5"/>
    <w:rsid w:val="00B5155A"/>
    <w:rsid w:val="00B51857"/>
    <w:rsid w:val="00B51BEE"/>
    <w:rsid w:val="00B51C64"/>
    <w:rsid w:val="00B52D0E"/>
    <w:rsid w:val="00B5316C"/>
    <w:rsid w:val="00B53B9D"/>
    <w:rsid w:val="00B53BD1"/>
    <w:rsid w:val="00B5488D"/>
    <w:rsid w:val="00B55010"/>
    <w:rsid w:val="00B5516F"/>
    <w:rsid w:val="00B55EAF"/>
    <w:rsid w:val="00B56693"/>
    <w:rsid w:val="00B571CE"/>
    <w:rsid w:val="00B57E64"/>
    <w:rsid w:val="00B60E5B"/>
    <w:rsid w:val="00B61449"/>
    <w:rsid w:val="00B621C9"/>
    <w:rsid w:val="00B62BCB"/>
    <w:rsid w:val="00B62C51"/>
    <w:rsid w:val="00B6321B"/>
    <w:rsid w:val="00B6356C"/>
    <w:rsid w:val="00B640C6"/>
    <w:rsid w:val="00B64FF6"/>
    <w:rsid w:val="00B6500E"/>
    <w:rsid w:val="00B65083"/>
    <w:rsid w:val="00B654E0"/>
    <w:rsid w:val="00B65E7A"/>
    <w:rsid w:val="00B66139"/>
    <w:rsid w:val="00B66AA3"/>
    <w:rsid w:val="00B67581"/>
    <w:rsid w:val="00B67B52"/>
    <w:rsid w:val="00B70489"/>
    <w:rsid w:val="00B7184B"/>
    <w:rsid w:val="00B71A09"/>
    <w:rsid w:val="00B72334"/>
    <w:rsid w:val="00B72DDF"/>
    <w:rsid w:val="00B73861"/>
    <w:rsid w:val="00B73D85"/>
    <w:rsid w:val="00B7426C"/>
    <w:rsid w:val="00B74A40"/>
    <w:rsid w:val="00B74F1C"/>
    <w:rsid w:val="00B7522F"/>
    <w:rsid w:val="00B75649"/>
    <w:rsid w:val="00B76271"/>
    <w:rsid w:val="00B7744C"/>
    <w:rsid w:val="00B77898"/>
    <w:rsid w:val="00B778C3"/>
    <w:rsid w:val="00B77E6E"/>
    <w:rsid w:val="00B8011F"/>
    <w:rsid w:val="00B80321"/>
    <w:rsid w:val="00B80A6C"/>
    <w:rsid w:val="00B818EA"/>
    <w:rsid w:val="00B81A87"/>
    <w:rsid w:val="00B83078"/>
    <w:rsid w:val="00B83E0A"/>
    <w:rsid w:val="00B84619"/>
    <w:rsid w:val="00B847D1"/>
    <w:rsid w:val="00B84962"/>
    <w:rsid w:val="00B85A42"/>
    <w:rsid w:val="00B86545"/>
    <w:rsid w:val="00B86835"/>
    <w:rsid w:val="00B87492"/>
    <w:rsid w:val="00B87618"/>
    <w:rsid w:val="00B87923"/>
    <w:rsid w:val="00B87C8A"/>
    <w:rsid w:val="00B90525"/>
    <w:rsid w:val="00B910E0"/>
    <w:rsid w:val="00B91EF7"/>
    <w:rsid w:val="00B922C6"/>
    <w:rsid w:val="00B926AE"/>
    <w:rsid w:val="00B9294C"/>
    <w:rsid w:val="00B92D4A"/>
    <w:rsid w:val="00B92FD7"/>
    <w:rsid w:val="00B9404F"/>
    <w:rsid w:val="00B940D0"/>
    <w:rsid w:val="00B94150"/>
    <w:rsid w:val="00B944DD"/>
    <w:rsid w:val="00B95530"/>
    <w:rsid w:val="00B96600"/>
    <w:rsid w:val="00B96B11"/>
    <w:rsid w:val="00B9768C"/>
    <w:rsid w:val="00B979E1"/>
    <w:rsid w:val="00BA02F4"/>
    <w:rsid w:val="00BA0370"/>
    <w:rsid w:val="00BA08F6"/>
    <w:rsid w:val="00BA1163"/>
    <w:rsid w:val="00BA1798"/>
    <w:rsid w:val="00BA2802"/>
    <w:rsid w:val="00BA2F9F"/>
    <w:rsid w:val="00BA2FBC"/>
    <w:rsid w:val="00BA2FEB"/>
    <w:rsid w:val="00BA3603"/>
    <w:rsid w:val="00BA3960"/>
    <w:rsid w:val="00BA4F2B"/>
    <w:rsid w:val="00BA5406"/>
    <w:rsid w:val="00BA5BDA"/>
    <w:rsid w:val="00BA62F1"/>
    <w:rsid w:val="00BA6C20"/>
    <w:rsid w:val="00BA6E85"/>
    <w:rsid w:val="00BA79E8"/>
    <w:rsid w:val="00BB0BE9"/>
    <w:rsid w:val="00BB0ED2"/>
    <w:rsid w:val="00BB1480"/>
    <w:rsid w:val="00BB17BF"/>
    <w:rsid w:val="00BB18CE"/>
    <w:rsid w:val="00BB1EAF"/>
    <w:rsid w:val="00BB1F13"/>
    <w:rsid w:val="00BB22C7"/>
    <w:rsid w:val="00BB23A0"/>
    <w:rsid w:val="00BB2631"/>
    <w:rsid w:val="00BB26F7"/>
    <w:rsid w:val="00BB320F"/>
    <w:rsid w:val="00BB37F7"/>
    <w:rsid w:val="00BB4C4D"/>
    <w:rsid w:val="00BB5473"/>
    <w:rsid w:val="00BB5762"/>
    <w:rsid w:val="00BB58D1"/>
    <w:rsid w:val="00BB6791"/>
    <w:rsid w:val="00BB71E5"/>
    <w:rsid w:val="00BB7576"/>
    <w:rsid w:val="00BB775C"/>
    <w:rsid w:val="00BC02C4"/>
    <w:rsid w:val="00BC0307"/>
    <w:rsid w:val="00BC0A97"/>
    <w:rsid w:val="00BC0C76"/>
    <w:rsid w:val="00BC43F8"/>
    <w:rsid w:val="00BC4F22"/>
    <w:rsid w:val="00BC63F8"/>
    <w:rsid w:val="00BC689E"/>
    <w:rsid w:val="00BC7743"/>
    <w:rsid w:val="00BC799B"/>
    <w:rsid w:val="00BC7C94"/>
    <w:rsid w:val="00BD0880"/>
    <w:rsid w:val="00BD0D28"/>
    <w:rsid w:val="00BD1186"/>
    <w:rsid w:val="00BD1641"/>
    <w:rsid w:val="00BD1C55"/>
    <w:rsid w:val="00BD2C8E"/>
    <w:rsid w:val="00BD3739"/>
    <w:rsid w:val="00BD46C9"/>
    <w:rsid w:val="00BD4875"/>
    <w:rsid w:val="00BD53B0"/>
    <w:rsid w:val="00BD5A7B"/>
    <w:rsid w:val="00BD5CAD"/>
    <w:rsid w:val="00BD65DE"/>
    <w:rsid w:val="00BD6C37"/>
    <w:rsid w:val="00BD7235"/>
    <w:rsid w:val="00BD7715"/>
    <w:rsid w:val="00BD7990"/>
    <w:rsid w:val="00BE02FA"/>
    <w:rsid w:val="00BE0F46"/>
    <w:rsid w:val="00BE10FA"/>
    <w:rsid w:val="00BE1498"/>
    <w:rsid w:val="00BE158B"/>
    <w:rsid w:val="00BE1625"/>
    <w:rsid w:val="00BE1774"/>
    <w:rsid w:val="00BE1B0F"/>
    <w:rsid w:val="00BE1DD8"/>
    <w:rsid w:val="00BE1E9D"/>
    <w:rsid w:val="00BE24C8"/>
    <w:rsid w:val="00BE2689"/>
    <w:rsid w:val="00BE27D9"/>
    <w:rsid w:val="00BE2AC8"/>
    <w:rsid w:val="00BE3D74"/>
    <w:rsid w:val="00BE3EC2"/>
    <w:rsid w:val="00BE4156"/>
    <w:rsid w:val="00BE5032"/>
    <w:rsid w:val="00BE50D6"/>
    <w:rsid w:val="00BE58B3"/>
    <w:rsid w:val="00BE6173"/>
    <w:rsid w:val="00BE7008"/>
    <w:rsid w:val="00BE728E"/>
    <w:rsid w:val="00BE72CF"/>
    <w:rsid w:val="00BE76EE"/>
    <w:rsid w:val="00BF03E2"/>
    <w:rsid w:val="00BF0A7B"/>
    <w:rsid w:val="00BF10E0"/>
    <w:rsid w:val="00BF1AB5"/>
    <w:rsid w:val="00BF1B02"/>
    <w:rsid w:val="00BF2646"/>
    <w:rsid w:val="00BF28FE"/>
    <w:rsid w:val="00BF2B7B"/>
    <w:rsid w:val="00BF33C2"/>
    <w:rsid w:val="00BF344E"/>
    <w:rsid w:val="00BF361A"/>
    <w:rsid w:val="00BF3903"/>
    <w:rsid w:val="00BF40F7"/>
    <w:rsid w:val="00BF41CA"/>
    <w:rsid w:val="00BF44BB"/>
    <w:rsid w:val="00BF48B7"/>
    <w:rsid w:val="00BF5195"/>
    <w:rsid w:val="00BF57EE"/>
    <w:rsid w:val="00BF5A33"/>
    <w:rsid w:val="00BF5DD6"/>
    <w:rsid w:val="00BF64C0"/>
    <w:rsid w:val="00BF6993"/>
    <w:rsid w:val="00BF6BED"/>
    <w:rsid w:val="00BF755B"/>
    <w:rsid w:val="00BF7B60"/>
    <w:rsid w:val="00BF7E17"/>
    <w:rsid w:val="00C00547"/>
    <w:rsid w:val="00C00680"/>
    <w:rsid w:val="00C007DA"/>
    <w:rsid w:val="00C00DF6"/>
    <w:rsid w:val="00C0143A"/>
    <w:rsid w:val="00C02467"/>
    <w:rsid w:val="00C02ED8"/>
    <w:rsid w:val="00C03000"/>
    <w:rsid w:val="00C0305F"/>
    <w:rsid w:val="00C03308"/>
    <w:rsid w:val="00C03881"/>
    <w:rsid w:val="00C03AAC"/>
    <w:rsid w:val="00C03EA7"/>
    <w:rsid w:val="00C04664"/>
    <w:rsid w:val="00C04D3D"/>
    <w:rsid w:val="00C04F1D"/>
    <w:rsid w:val="00C05165"/>
    <w:rsid w:val="00C054D3"/>
    <w:rsid w:val="00C05D95"/>
    <w:rsid w:val="00C06BC1"/>
    <w:rsid w:val="00C079E4"/>
    <w:rsid w:val="00C101EF"/>
    <w:rsid w:val="00C107E1"/>
    <w:rsid w:val="00C11335"/>
    <w:rsid w:val="00C119BF"/>
    <w:rsid w:val="00C11EA6"/>
    <w:rsid w:val="00C128EF"/>
    <w:rsid w:val="00C12CCE"/>
    <w:rsid w:val="00C1551E"/>
    <w:rsid w:val="00C15558"/>
    <w:rsid w:val="00C159BD"/>
    <w:rsid w:val="00C15A36"/>
    <w:rsid w:val="00C1620E"/>
    <w:rsid w:val="00C164C0"/>
    <w:rsid w:val="00C16752"/>
    <w:rsid w:val="00C16845"/>
    <w:rsid w:val="00C16D9C"/>
    <w:rsid w:val="00C17253"/>
    <w:rsid w:val="00C173DA"/>
    <w:rsid w:val="00C1788D"/>
    <w:rsid w:val="00C21444"/>
    <w:rsid w:val="00C21A74"/>
    <w:rsid w:val="00C226CB"/>
    <w:rsid w:val="00C23F74"/>
    <w:rsid w:val="00C24027"/>
    <w:rsid w:val="00C2425B"/>
    <w:rsid w:val="00C24E9A"/>
    <w:rsid w:val="00C24EE8"/>
    <w:rsid w:val="00C25C20"/>
    <w:rsid w:val="00C26068"/>
    <w:rsid w:val="00C30044"/>
    <w:rsid w:val="00C30372"/>
    <w:rsid w:val="00C31D62"/>
    <w:rsid w:val="00C32AB7"/>
    <w:rsid w:val="00C339A2"/>
    <w:rsid w:val="00C34A02"/>
    <w:rsid w:val="00C34EC6"/>
    <w:rsid w:val="00C35341"/>
    <w:rsid w:val="00C363C2"/>
    <w:rsid w:val="00C368B3"/>
    <w:rsid w:val="00C369B4"/>
    <w:rsid w:val="00C36C0F"/>
    <w:rsid w:val="00C36CDE"/>
    <w:rsid w:val="00C36D69"/>
    <w:rsid w:val="00C37398"/>
    <w:rsid w:val="00C37899"/>
    <w:rsid w:val="00C37AEB"/>
    <w:rsid w:val="00C37E12"/>
    <w:rsid w:val="00C40622"/>
    <w:rsid w:val="00C4154B"/>
    <w:rsid w:val="00C4261A"/>
    <w:rsid w:val="00C42BF6"/>
    <w:rsid w:val="00C433B7"/>
    <w:rsid w:val="00C4373F"/>
    <w:rsid w:val="00C441C4"/>
    <w:rsid w:val="00C44C3C"/>
    <w:rsid w:val="00C44C65"/>
    <w:rsid w:val="00C45DCD"/>
    <w:rsid w:val="00C4639E"/>
    <w:rsid w:val="00C46414"/>
    <w:rsid w:val="00C46901"/>
    <w:rsid w:val="00C46BDD"/>
    <w:rsid w:val="00C4703E"/>
    <w:rsid w:val="00C5010B"/>
    <w:rsid w:val="00C505EC"/>
    <w:rsid w:val="00C51723"/>
    <w:rsid w:val="00C5173D"/>
    <w:rsid w:val="00C52288"/>
    <w:rsid w:val="00C5324F"/>
    <w:rsid w:val="00C5386E"/>
    <w:rsid w:val="00C53948"/>
    <w:rsid w:val="00C53A8E"/>
    <w:rsid w:val="00C53AC2"/>
    <w:rsid w:val="00C53EA1"/>
    <w:rsid w:val="00C547EB"/>
    <w:rsid w:val="00C55417"/>
    <w:rsid w:val="00C567E8"/>
    <w:rsid w:val="00C5723C"/>
    <w:rsid w:val="00C57852"/>
    <w:rsid w:val="00C57F8C"/>
    <w:rsid w:val="00C602F8"/>
    <w:rsid w:val="00C606AE"/>
    <w:rsid w:val="00C60BAC"/>
    <w:rsid w:val="00C61260"/>
    <w:rsid w:val="00C614E1"/>
    <w:rsid w:val="00C61958"/>
    <w:rsid w:val="00C61C9C"/>
    <w:rsid w:val="00C62334"/>
    <w:rsid w:val="00C62601"/>
    <w:rsid w:val="00C6271A"/>
    <w:rsid w:val="00C62835"/>
    <w:rsid w:val="00C62B76"/>
    <w:rsid w:val="00C63323"/>
    <w:rsid w:val="00C63329"/>
    <w:rsid w:val="00C636D3"/>
    <w:rsid w:val="00C63E88"/>
    <w:rsid w:val="00C63EAF"/>
    <w:rsid w:val="00C64899"/>
    <w:rsid w:val="00C64E24"/>
    <w:rsid w:val="00C66287"/>
    <w:rsid w:val="00C66571"/>
    <w:rsid w:val="00C67737"/>
    <w:rsid w:val="00C679FF"/>
    <w:rsid w:val="00C70943"/>
    <w:rsid w:val="00C70EC9"/>
    <w:rsid w:val="00C71B85"/>
    <w:rsid w:val="00C71B8F"/>
    <w:rsid w:val="00C72FE1"/>
    <w:rsid w:val="00C73254"/>
    <w:rsid w:val="00C73623"/>
    <w:rsid w:val="00C7364D"/>
    <w:rsid w:val="00C73F76"/>
    <w:rsid w:val="00C7720E"/>
    <w:rsid w:val="00C80983"/>
    <w:rsid w:val="00C813F9"/>
    <w:rsid w:val="00C81CF3"/>
    <w:rsid w:val="00C81D7E"/>
    <w:rsid w:val="00C82255"/>
    <w:rsid w:val="00C828D4"/>
    <w:rsid w:val="00C82A6A"/>
    <w:rsid w:val="00C83224"/>
    <w:rsid w:val="00C8328A"/>
    <w:rsid w:val="00C833F6"/>
    <w:rsid w:val="00C83842"/>
    <w:rsid w:val="00C841A8"/>
    <w:rsid w:val="00C84470"/>
    <w:rsid w:val="00C84745"/>
    <w:rsid w:val="00C85423"/>
    <w:rsid w:val="00C86E36"/>
    <w:rsid w:val="00C87710"/>
    <w:rsid w:val="00C90874"/>
    <w:rsid w:val="00C9110E"/>
    <w:rsid w:val="00C914DA"/>
    <w:rsid w:val="00C91AE8"/>
    <w:rsid w:val="00C91E3B"/>
    <w:rsid w:val="00C925E0"/>
    <w:rsid w:val="00C92756"/>
    <w:rsid w:val="00C935A0"/>
    <w:rsid w:val="00C9490D"/>
    <w:rsid w:val="00C9519E"/>
    <w:rsid w:val="00C95F51"/>
    <w:rsid w:val="00C961F0"/>
    <w:rsid w:val="00C96454"/>
    <w:rsid w:val="00CA0035"/>
    <w:rsid w:val="00CA065E"/>
    <w:rsid w:val="00CA092A"/>
    <w:rsid w:val="00CA16BD"/>
    <w:rsid w:val="00CA23DF"/>
    <w:rsid w:val="00CA255E"/>
    <w:rsid w:val="00CA297B"/>
    <w:rsid w:val="00CA2B6A"/>
    <w:rsid w:val="00CA3AB1"/>
    <w:rsid w:val="00CA3B4A"/>
    <w:rsid w:val="00CA478E"/>
    <w:rsid w:val="00CA4F36"/>
    <w:rsid w:val="00CA51CD"/>
    <w:rsid w:val="00CA5365"/>
    <w:rsid w:val="00CA5BBD"/>
    <w:rsid w:val="00CA6824"/>
    <w:rsid w:val="00CA6911"/>
    <w:rsid w:val="00CA6B30"/>
    <w:rsid w:val="00CA6B8A"/>
    <w:rsid w:val="00CA713B"/>
    <w:rsid w:val="00CA7B4C"/>
    <w:rsid w:val="00CB03EE"/>
    <w:rsid w:val="00CB03FF"/>
    <w:rsid w:val="00CB05EC"/>
    <w:rsid w:val="00CB0753"/>
    <w:rsid w:val="00CB07DC"/>
    <w:rsid w:val="00CB12B0"/>
    <w:rsid w:val="00CB18DF"/>
    <w:rsid w:val="00CB21B5"/>
    <w:rsid w:val="00CB28EF"/>
    <w:rsid w:val="00CB30FF"/>
    <w:rsid w:val="00CB3C5C"/>
    <w:rsid w:val="00CB42C0"/>
    <w:rsid w:val="00CB4910"/>
    <w:rsid w:val="00CB4E2D"/>
    <w:rsid w:val="00CB5B09"/>
    <w:rsid w:val="00CB631A"/>
    <w:rsid w:val="00CB64AE"/>
    <w:rsid w:val="00CB6DA4"/>
    <w:rsid w:val="00CB6E28"/>
    <w:rsid w:val="00CB7135"/>
    <w:rsid w:val="00CB7ADF"/>
    <w:rsid w:val="00CC07E2"/>
    <w:rsid w:val="00CC095B"/>
    <w:rsid w:val="00CC0A49"/>
    <w:rsid w:val="00CC0F2E"/>
    <w:rsid w:val="00CC12A0"/>
    <w:rsid w:val="00CC12BB"/>
    <w:rsid w:val="00CC1474"/>
    <w:rsid w:val="00CC181A"/>
    <w:rsid w:val="00CC1972"/>
    <w:rsid w:val="00CC1E23"/>
    <w:rsid w:val="00CC2331"/>
    <w:rsid w:val="00CC27A8"/>
    <w:rsid w:val="00CC291F"/>
    <w:rsid w:val="00CC32CA"/>
    <w:rsid w:val="00CC40B1"/>
    <w:rsid w:val="00CC4EED"/>
    <w:rsid w:val="00CC4F49"/>
    <w:rsid w:val="00CC54C4"/>
    <w:rsid w:val="00CC55E1"/>
    <w:rsid w:val="00CC5707"/>
    <w:rsid w:val="00CC60C1"/>
    <w:rsid w:val="00CC72A1"/>
    <w:rsid w:val="00CC7530"/>
    <w:rsid w:val="00CD01D5"/>
    <w:rsid w:val="00CD0C8A"/>
    <w:rsid w:val="00CD1766"/>
    <w:rsid w:val="00CD1AB8"/>
    <w:rsid w:val="00CD1ADE"/>
    <w:rsid w:val="00CD1CB8"/>
    <w:rsid w:val="00CD1D85"/>
    <w:rsid w:val="00CD2AF4"/>
    <w:rsid w:val="00CD2F44"/>
    <w:rsid w:val="00CD2F90"/>
    <w:rsid w:val="00CD32BC"/>
    <w:rsid w:val="00CD49C2"/>
    <w:rsid w:val="00CD4E0A"/>
    <w:rsid w:val="00CD5214"/>
    <w:rsid w:val="00CD578C"/>
    <w:rsid w:val="00CD699A"/>
    <w:rsid w:val="00CD7124"/>
    <w:rsid w:val="00CD7486"/>
    <w:rsid w:val="00CD753F"/>
    <w:rsid w:val="00CD7DB6"/>
    <w:rsid w:val="00CE0B91"/>
    <w:rsid w:val="00CE1144"/>
    <w:rsid w:val="00CE1DF5"/>
    <w:rsid w:val="00CE287D"/>
    <w:rsid w:val="00CE3359"/>
    <w:rsid w:val="00CE355A"/>
    <w:rsid w:val="00CE3747"/>
    <w:rsid w:val="00CE39F5"/>
    <w:rsid w:val="00CE3DB1"/>
    <w:rsid w:val="00CE4232"/>
    <w:rsid w:val="00CE4550"/>
    <w:rsid w:val="00CE4789"/>
    <w:rsid w:val="00CE4AE3"/>
    <w:rsid w:val="00CE5249"/>
    <w:rsid w:val="00CE539D"/>
    <w:rsid w:val="00CE59B5"/>
    <w:rsid w:val="00CE6373"/>
    <w:rsid w:val="00CE6FB3"/>
    <w:rsid w:val="00CE7AF8"/>
    <w:rsid w:val="00CF009B"/>
    <w:rsid w:val="00CF07C2"/>
    <w:rsid w:val="00CF0F73"/>
    <w:rsid w:val="00CF12B3"/>
    <w:rsid w:val="00CF1410"/>
    <w:rsid w:val="00CF2869"/>
    <w:rsid w:val="00CF376B"/>
    <w:rsid w:val="00CF4883"/>
    <w:rsid w:val="00CF4E69"/>
    <w:rsid w:val="00CF5067"/>
    <w:rsid w:val="00CF50F6"/>
    <w:rsid w:val="00CF53EF"/>
    <w:rsid w:val="00CF6423"/>
    <w:rsid w:val="00CF770B"/>
    <w:rsid w:val="00CF79BF"/>
    <w:rsid w:val="00D0193D"/>
    <w:rsid w:val="00D0195B"/>
    <w:rsid w:val="00D02432"/>
    <w:rsid w:val="00D02855"/>
    <w:rsid w:val="00D02E4F"/>
    <w:rsid w:val="00D03200"/>
    <w:rsid w:val="00D038C4"/>
    <w:rsid w:val="00D0393B"/>
    <w:rsid w:val="00D04116"/>
    <w:rsid w:val="00D05A65"/>
    <w:rsid w:val="00D05DAE"/>
    <w:rsid w:val="00D06AC8"/>
    <w:rsid w:val="00D07965"/>
    <w:rsid w:val="00D10189"/>
    <w:rsid w:val="00D1043F"/>
    <w:rsid w:val="00D10EDF"/>
    <w:rsid w:val="00D1207E"/>
    <w:rsid w:val="00D121C9"/>
    <w:rsid w:val="00D12410"/>
    <w:rsid w:val="00D12698"/>
    <w:rsid w:val="00D1293C"/>
    <w:rsid w:val="00D14687"/>
    <w:rsid w:val="00D148E2"/>
    <w:rsid w:val="00D14A8A"/>
    <w:rsid w:val="00D14B34"/>
    <w:rsid w:val="00D14CB4"/>
    <w:rsid w:val="00D150FC"/>
    <w:rsid w:val="00D1549C"/>
    <w:rsid w:val="00D159FC"/>
    <w:rsid w:val="00D16509"/>
    <w:rsid w:val="00D16937"/>
    <w:rsid w:val="00D16E11"/>
    <w:rsid w:val="00D170ED"/>
    <w:rsid w:val="00D17AA9"/>
    <w:rsid w:val="00D201AE"/>
    <w:rsid w:val="00D20446"/>
    <w:rsid w:val="00D204D3"/>
    <w:rsid w:val="00D205F1"/>
    <w:rsid w:val="00D2060E"/>
    <w:rsid w:val="00D217AE"/>
    <w:rsid w:val="00D221AE"/>
    <w:rsid w:val="00D2366A"/>
    <w:rsid w:val="00D23DF5"/>
    <w:rsid w:val="00D242A8"/>
    <w:rsid w:val="00D24415"/>
    <w:rsid w:val="00D24C24"/>
    <w:rsid w:val="00D25B87"/>
    <w:rsid w:val="00D25D63"/>
    <w:rsid w:val="00D26113"/>
    <w:rsid w:val="00D26217"/>
    <w:rsid w:val="00D26C53"/>
    <w:rsid w:val="00D2709F"/>
    <w:rsid w:val="00D27863"/>
    <w:rsid w:val="00D279EF"/>
    <w:rsid w:val="00D30293"/>
    <w:rsid w:val="00D302A6"/>
    <w:rsid w:val="00D304C9"/>
    <w:rsid w:val="00D31162"/>
    <w:rsid w:val="00D32A72"/>
    <w:rsid w:val="00D333DE"/>
    <w:rsid w:val="00D33E8B"/>
    <w:rsid w:val="00D347FF"/>
    <w:rsid w:val="00D34851"/>
    <w:rsid w:val="00D35A71"/>
    <w:rsid w:val="00D361C0"/>
    <w:rsid w:val="00D36489"/>
    <w:rsid w:val="00D3659A"/>
    <w:rsid w:val="00D36BD2"/>
    <w:rsid w:val="00D36D1A"/>
    <w:rsid w:val="00D36F06"/>
    <w:rsid w:val="00D36F64"/>
    <w:rsid w:val="00D37616"/>
    <w:rsid w:val="00D37B05"/>
    <w:rsid w:val="00D37B0A"/>
    <w:rsid w:val="00D403A0"/>
    <w:rsid w:val="00D40647"/>
    <w:rsid w:val="00D407BB"/>
    <w:rsid w:val="00D40F32"/>
    <w:rsid w:val="00D40F9B"/>
    <w:rsid w:val="00D41017"/>
    <w:rsid w:val="00D41484"/>
    <w:rsid w:val="00D415A2"/>
    <w:rsid w:val="00D4324A"/>
    <w:rsid w:val="00D43379"/>
    <w:rsid w:val="00D43961"/>
    <w:rsid w:val="00D4437E"/>
    <w:rsid w:val="00D4627C"/>
    <w:rsid w:val="00D46602"/>
    <w:rsid w:val="00D46F24"/>
    <w:rsid w:val="00D47141"/>
    <w:rsid w:val="00D47C2B"/>
    <w:rsid w:val="00D47DEA"/>
    <w:rsid w:val="00D50988"/>
    <w:rsid w:val="00D50ACD"/>
    <w:rsid w:val="00D50DB6"/>
    <w:rsid w:val="00D51CDD"/>
    <w:rsid w:val="00D51E4A"/>
    <w:rsid w:val="00D521EE"/>
    <w:rsid w:val="00D5253E"/>
    <w:rsid w:val="00D52A5C"/>
    <w:rsid w:val="00D52E64"/>
    <w:rsid w:val="00D53D53"/>
    <w:rsid w:val="00D549F3"/>
    <w:rsid w:val="00D54F26"/>
    <w:rsid w:val="00D550D3"/>
    <w:rsid w:val="00D55871"/>
    <w:rsid w:val="00D55F10"/>
    <w:rsid w:val="00D56190"/>
    <w:rsid w:val="00D566D8"/>
    <w:rsid w:val="00D568AF"/>
    <w:rsid w:val="00D56CA6"/>
    <w:rsid w:val="00D5717F"/>
    <w:rsid w:val="00D57188"/>
    <w:rsid w:val="00D576E3"/>
    <w:rsid w:val="00D60CA3"/>
    <w:rsid w:val="00D6188E"/>
    <w:rsid w:val="00D6199B"/>
    <w:rsid w:val="00D61CA8"/>
    <w:rsid w:val="00D61E6F"/>
    <w:rsid w:val="00D61F1A"/>
    <w:rsid w:val="00D62031"/>
    <w:rsid w:val="00D624D8"/>
    <w:rsid w:val="00D62939"/>
    <w:rsid w:val="00D64AD1"/>
    <w:rsid w:val="00D65251"/>
    <w:rsid w:val="00D6566C"/>
    <w:rsid w:val="00D65D68"/>
    <w:rsid w:val="00D664EE"/>
    <w:rsid w:val="00D668DF"/>
    <w:rsid w:val="00D67DD4"/>
    <w:rsid w:val="00D701D6"/>
    <w:rsid w:val="00D7054A"/>
    <w:rsid w:val="00D710C6"/>
    <w:rsid w:val="00D71410"/>
    <w:rsid w:val="00D7193D"/>
    <w:rsid w:val="00D727E7"/>
    <w:rsid w:val="00D7397F"/>
    <w:rsid w:val="00D73BDF"/>
    <w:rsid w:val="00D7413C"/>
    <w:rsid w:val="00D741DD"/>
    <w:rsid w:val="00D76063"/>
    <w:rsid w:val="00D760B1"/>
    <w:rsid w:val="00D766D4"/>
    <w:rsid w:val="00D76B50"/>
    <w:rsid w:val="00D76C39"/>
    <w:rsid w:val="00D76C43"/>
    <w:rsid w:val="00D76CC0"/>
    <w:rsid w:val="00D76E82"/>
    <w:rsid w:val="00D770C8"/>
    <w:rsid w:val="00D771CF"/>
    <w:rsid w:val="00D8029E"/>
    <w:rsid w:val="00D80365"/>
    <w:rsid w:val="00D80374"/>
    <w:rsid w:val="00D80440"/>
    <w:rsid w:val="00D815E2"/>
    <w:rsid w:val="00D81AC8"/>
    <w:rsid w:val="00D822ED"/>
    <w:rsid w:val="00D8249F"/>
    <w:rsid w:val="00D82FDC"/>
    <w:rsid w:val="00D83F67"/>
    <w:rsid w:val="00D83FE9"/>
    <w:rsid w:val="00D84122"/>
    <w:rsid w:val="00D84681"/>
    <w:rsid w:val="00D846D8"/>
    <w:rsid w:val="00D85464"/>
    <w:rsid w:val="00D854AC"/>
    <w:rsid w:val="00D8688C"/>
    <w:rsid w:val="00D86CCC"/>
    <w:rsid w:val="00D8793C"/>
    <w:rsid w:val="00D90817"/>
    <w:rsid w:val="00D90A1C"/>
    <w:rsid w:val="00D90D54"/>
    <w:rsid w:val="00D9106C"/>
    <w:rsid w:val="00D926B0"/>
    <w:rsid w:val="00D928AC"/>
    <w:rsid w:val="00D931AC"/>
    <w:rsid w:val="00D932CC"/>
    <w:rsid w:val="00D9377F"/>
    <w:rsid w:val="00D93E96"/>
    <w:rsid w:val="00D93FE8"/>
    <w:rsid w:val="00D94062"/>
    <w:rsid w:val="00D9467B"/>
    <w:rsid w:val="00D948EC"/>
    <w:rsid w:val="00D95A0C"/>
    <w:rsid w:val="00D95CF2"/>
    <w:rsid w:val="00D962B4"/>
    <w:rsid w:val="00D962C6"/>
    <w:rsid w:val="00D963DB"/>
    <w:rsid w:val="00D96497"/>
    <w:rsid w:val="00D967D8"/>
    <w:rsid w:val="00D973F2"/>
    <w:rsid w:val="00D97E42"/>
    <w:rsid w:val="00D97EC6"/>
    <w:rsid w:val="00D97EDA"/>
    <w:rsid w:val="00DA010E"/>
    <w:rsid w:val="00DA0731"/>
    <w:rsid w:val="00DA07CB"/>
    <w:rsid w:val="00DA0A52"/>
    <w:rsid w:val="00DA0E4E"/>
    <w:rsid w:val="00DA11CC"/>
    <w:rsid w:val="00DA170F"/>
    <w:rsid w:val="00DA25B0"/>
    <w:rsid w:val="00DA2634"/>
    <w:rsid w:val="00DA2C30"/>
    <w:rsid w:val="00DA3276"/>
    <w:rsid w:val="00DA367D"/>
    <w:rsid w:val="00DA4401"/>
    <w:rsid w:val="00DA4995"/>
    <w:rsid w:val="00DA52D1"/>
    <w:rsid w:val="00DA5757"/>
    <w:rsid w:val="00DA5AFE"/>
    <w:rsid w:val="00DA5E32"/>
    <w:rsid w:val="00DA68B2"/>
    <w:rsid w:val="00DA7421"/>
    <w:rsid w:val="00DA7881"/>
    <w:rsid w:val="00DA7D3D"/>
    <w:rsid w:val="00DB057E"/>
    <w:rsid w:val="00DB235F"/>
    <w:rsid w:val="00DB241F"/>
    <w:rsid w:val="00DB2472"/>
    <w:rsid w:val="00DB254F"/>
    <w:rsid w:val="00DB26E3"/>
    <w:rsid w:val="00DB2C2D"/>
    <w:rsid w:val="00DB30F7"/>
    <w:rsid w:val="00DB494E"/>
    <w:rsid w:val="00DB5516"/>
    <w:rsid w:val="00DB55C4"/>
    <w:rsid w:val="00DB5E36"/>
    <w:rsid w:val="00DB6164"/>
    <w:rsid w:val="00DB6502"/>
    <w:rsid w:val="00DB65DA"/>
    <w:rsid w:val="00DB6673"/>
    <w:rsid w:val="00DB6830"/>
    <w:rsid w:val="00DB7132"/>
    <w:rsid w:val="00DB719E"/>
    <w:rsid w:val="00DB78BF"/>
    <w:rsid w:val="00DC00CA"/>
    <w:rsid w:val="00DC04D7"/>
    <w:rsid w:val="00DC0DDA"/>
    <w:rsid w:val="00DC1001"/>
    <w:rsid w:val="00DC1268"/>
    <w:rsid w:val="00DC1E4C"/>
    <w:rsid w:val="00DC253A"/>
    <w:rsid w:val="00DC2779"/>
    <w:rsid w:val="00DC29C7"/>
    <w:rsid w:val="00DC2D5B"/>
    <w:rsid w:val="00DC35F7"/>
    <w:rsid w:val="00DC388E"/>
    <w:rsid w:val="00DC3ECE"/>
    <w:rsid w:val="00DC4A7E"/>
    <w:rsid w:val="00DC4BBC"/>
    <w:rsid w:val="00DC504D"/>
    <w:rsid w:val="00DC5553"/>
    <w:rsid w:val="00DC5ED6"/>
    <w:rsid w:val="00DC5F32"/>
    <w:rsid w:val="00DC6367"/>
    <w:rsid w:val="00DC6758"/>
    <w:rsid w:val="00DC707E"/>
    <w:rsid w:val="00DC7524"/>
    <w:rsid w:val="00DC7809"/>
    <w:rsid w:val="00DD0299"/>
    <w:rsid w:val="00DD09BF"/>
    <w:rsid w:val="00DD11F2"/>
    <w:rsid w:val="00DD1201"/>
    <w:rsid w:val="00DD159E"/>
    <w:rsid w:val="00DD15E1"/>
    <w:rsid w:val="00DD17F8"/>
    <w:rsid w:val="00DD1A03"/>
    <w:rsid w:val="00DD2090"/>
    <w:rsid w:val="00DD2640"/>
    <w:rsid w:val="00DD27FF"/>
    <w:rsid w:val="00DD3BC3"/>
    <w:rsid w:val="00DD49B1"/>
    <w:rsid w:val="00DD50D9"/>
    <w:rsid w:val="00DD5B2C"/>
    <w:rsid w:val="00DD6FEF"/>
    <w:rsid w:val="00DD72D7"/>
    <w:rsid w:val="00DD7D9F"/>
    <w:rsid w:val="00DE02A6"/>
    <w:rsid w:val="00DE065A"/>
    <w:rsid w:val="00DE08F3"/>
    <w:rsid w:val="00DE0BAA"/>
    <w:rsid w:val="00DE0CA7"/>
    <w:rsid w:val="00DE27D7"/>
    <w:rsid w:val="00DE2F3C"/>
    <w:rsid w:val="00DE3640"/>
    <w:rsid w:val="00DE4E2C"/>
    <w:rsid w:val="00DE4F5F"/>
    <w:rsid w:val="00DE5F74"/>
    <w:rsid w:val="00DE6121"/>
    <w:rsid w:val="00DE6514"/>
    <w:rsid w:val="00DE69EE"/>
    <w:rsid w:val="00DE6C91"/>
    <w:rsid w:val="00DE79C5"/>
    <w:rsid w:val="00DE7D01"/>
    <w:rsid w:val="00DF0582"/>
    <w:rsid w:val="00DF0A79"/>
    <w:rsid w:val="00DF1139"/>
    <w:rsid w:val="00DF15EF"/>
    <w:rsid w:val="00DF18FF"/>
    <w:rsid w:val="00DF1AB8"/>
    <w:rsid w:val="00DF1D9A"/>
    <w:rsid w:val="00DF2A5F"/>
    <w:rsid w:val="00DF369D"/>
    <w:rsid w:val="00DF4632"/>
    <w:rsid w:val="00DF4802"/>
    <w:rsid w:val="00DF489C"/>
    <w:rsid w:val="00DF4B87"/>
    <w:rsid w:val="00DF6B84"/>
    <w:rsid w:val="00DF6E1E"/>
    <w:rsid w:val="00DF76D0"/>
    <w:rsid w:val="00DF7EAB"/>
    <w:rsid w:val="00E000C3"/>
    <w:rsid w:val="00E006A1"/>
    <w:rsid w:val="00E00949"/>
    <w:rsid w:val="00E01557"/>
    <w:rsid w:val="00E01B6A"/>
    <w:rsid w:val="00E01C0E"/>
    <w:rsid w:val="00E01C21"/>
    <w:rsid w:val="00E01ED1"/>
    <w:rsid w:val="00E020EA"/>
    <w:rsid w:val="00E0259D"/>
    <w:rsid w:val="00E02794"/>
    <w:rsid w:val="00E02E09"/>
    <w:rsid w:val="00E03500"/>
    <w:rsid w:val="00E049C9"/>
    <w:rsid w:val="00E04E42"/>
    <w:rsid w:val="00E051A2"/>
    <w:rsid w:val="00E0599E"/>
    <w:rsid w:val="00E059BD"/>
    <w:rsid w:val="00E072F8"/>
    <w:rsid w:val="00E0746C"/>
    <w:rsid w:val="00E07655"/>
    <w:rsid w:val="00E07935"/>
    <w:rsid w:val="00E07CB3"/>
    <w:rsid w:val="00E07DCD"/>
    <w:rsid w:val="00E07EA4"/>
    <w:rsid w:val="00E07FCD"/>
    <w:rsid w:val="00E10053"/>
    <w:rsid w:val="00E10143"/>
    <w:rsid w:val="00E10223"/>
    <w:rsid w:val="00E1140B"/>
    <w:rsid w:val="00E117AC"/>
    <w:rsid w:val="00E12EEC"/>
    <w:rsid w:val="00E13913"/>
    <w:rsid w:val="00E139DB"/>
    <w:rsid w:val="00E158B0"/>
    <w:rsid w:val="00E15FDE"/>
    <w:rsid w:val="00E16138"/>
    <w:rsid w:val="00E16244"/>
    <w:rsid w:val="00E165B1"/>
    <w:rsid w:val="00E17FC4"/>
    <w:rsid w:val="00E20353"/>
    <w:rsid w:val="00E2045A"/>
    <w:rsid w:val="00E2089D"/>
    <w:rsid w:val="00E20B1E"/>
    <w:rsid w:val="00E21FFE"/>
    <w:rsid w:val="00E2201D"/>
    <w:rsid w:val="00E22119"/>
    <w:rsid w:val="00E242A4"/>
    <w:rsid w:val="00E264C5"/>
    <w:rsid w:val="00E27144"/>
    <w:rsid w:val="00E27928"/>
    <w:rsid w:val="00E27BF5"/>
    <w:rsid w:val="00E27CC2"/>
    <w:rsid w:val="00E30A33"/>
    <w:rsid w:val="00E30B26"/>
    <w:rsid w:val="00E313BA"/>
    <w:rsid w:val="00E31821"/>
    <w:rsid w:val="00E31F76"/>
    <w:rsid w:val="00E32759"/>
    <w:rsid w:val="00E32E01"/>
    <w:rsid w:val="00E337C2"/>
    <w:rsid w:val="00E33B89"/>
    <w:rsid w:val="00E34A14"/>
    <w:rsid w:val="00E35FA1"/>
    <w:rsid w:val="00E3664B"/>
    <w:rsid w:val="00E3691A"/>
    <w:rsid w:val="00E36AB0"/>
    <w:rsid w:val="00E377C9"/>
    <w:rsid w:val="00E37957"/>
    <w:rsid w:val="00E40753"/>
    <w:rsid w:val="00E40A5E"/>
    <w:rsid w:val="00E40B3E"/>
    <w:rsid w:val="00E40BB5"/>
    <w:rsid w:val="00E41DA3"/>
    <w:rsid w:val="00E42010"/>
    <w:rsid w:val="00E421F8"/>
    <w:rsid w:val="00E42696"/>
    <w:rsid w:val="00E42837"/>
    <w:rsid w:val="00E4296F"/>
    <w:rsid w:val="00E42EC6"/>
    <w:rsid w:val="00E4406D"/>
    <w:rsid w:val="00E446AE"/>
    <w:rsid w:val="00E44968"/>
    <w:rsid w:val="00E44A09"/>
    <w:rsid w:val="00E450DA"/>
    <w:rsid w:val="00E45707"/>
    <w:rsid w:val="00E45BB1"/>
    <w:rsid w:val="00E46882"/>
    <w:rsid w:val="00E47B5E"/>
    <w:rsid w:val="00E50222"/>
    <w:rsid w:val="00E50362"/>
    <w:rsid w:val="00E503F7"/>
    <w:rsid w:val="00E50CE8"/>
    <w:rsid w:val="00E511CC"/>
    <w:rsid w:val="00E511EF"/>
    <w:rsid w:val="00E512A8"/>
    <w:rsid w:val="00E5139E"/>
    <w:rsid w:val="00E52392"/>
    <w:rsid w:val="00E52873"/>
    <w:rsid w:val="00E52C55"/>
    <w:rsid w:val="00E53B42"/>
    <w:rsid w:val="00E5421C"/>
    <w:rsid w:val="00E544AE"/>
    <w:rsid w:val="00E54846"/>
    <w:rsid w:val="00E55865"/>
    <w:rsid w:val="00E558D6"/>
    <w:rsid w:val="00E5594F"/>
    <w:rsid w:val="00E55C0E"/>
    <w:rsid w:val="00E56062"/>
    <w:rsid w:val="00E56626"/>
    <w:rsid w:val="00E56D92"/>
    <w:rsid w:val="00E5707E"/>
    <w:rsid w:val="00E571C4"/>
    <w:rsid w:val="00E6011F"/>
    <w:rsid w:val="00E609CA"/>
    <w:rsid w:val="00E6108F"/>
    <w:rsid w:val="00E61598"/>
    <w:rsid w:val="00E62A6A"/>
    <w:rsid w:val="00E6305E"/>
    <w:rsid w:val="00E637F3"/>
    <w:rsid w:val="00E65FFF"/>
    <w:rsid w:val="00E66761"/>
    <w:rsid w:val="00E66A38"/>
    <w:rsid w:val="00E66A7D"/>
    <w:rsid w:val="00E70172"/>
    <w:rsid w:val="00E711DF"/>
    <w:rsid w:val="00E718C8"/>
    <w:rsid w:val="00E733B1"/>
    <w:rsid w:val="00E73455"/>
    <w:rsid w:val="00E73966"/>
    <w:rsid w:val="00E744A4"/>
    <w:rsid w:val="00E747B5"/>
    <w:rsid w:val="00E74CC6"/>
    <w:rsid w:val="00E7503C"/>
    <w:rsid w:val="00E75D16"/>
    <w:rsid w:val="00E75D34"/>
    <w:rsid w:val="00E760E0"/>
    <w:rsid w:val="00E763E9"/>
    <w:rsid w:val="00E76483"/>
    <w:rsid w:val="00E768D9"/>
    <w:rsid w:val="00E76B54"/>
    <w:rsid w:val="00E76C71"/>
    <w:rsid w:val="00E772AE"/>
    <w:rsid w:val="00E7738B"/>
    <w:rsid w:val="00E77644"/>
    <w:rsid w:val="00E777DF"/>
    <w:rsid w:val="00E801B7"/>
    <w:rsid w:val="00E80849"/>
    <w:rsid w:val="00E80CD4"/>
    <w:rsid w:val="00E82393"/>
    <w:rsid w:val="00E8299B"/>
    <w:rsid w:val="00E82A70"/>
    <w:rsid w:val="00E82EE7"/>
    <w:rsid w:val="00E83E41"/>
    <w:rsid w:val="00E84469"/>
    <w:rsid w:val="00E847F2"/>
    <w:rsid w:val="00E850BD"/>
    <w:rsid w:val="00E85223"/>
    <w:rsid w:val="00E86C86"/>
    <w:rsid w:val="00E86F17"/>
    <w:rsid w:val="00E904FD"/>
    <w:rsid w:val="00E91316"/>
    <w:rsid w:val="00E920D2"/>
    <w:rsid w:val="00E92534"/>
    <w:rsid w:val="00E9290A"/>
    <w:rsid w:val="00E93625"/>
    <w:rsid w:val="00E946C2"/>
    <w:rsid w:val="00E95EF8"/>
    <w:rsid w:val="00E96494"/>
    <w:rsid w:val="00E96D8E"/>
    <w:rsid w:val="00E96E1F"/>
    <w:rsid w:val="00E970B1"/>
    <w:rsid w:val="00E973F6"/>
    <w:rsid w:val="00E97596"/>
    <w:rsid w:val="00E97B89"/>
    <w:rsid w:val="00EA0307"/>
    <w:rsid w:val="00EA0513"/>
    <w:rsid w:val="00EA0567"/>
    <w:rsid w:val="00EA082E"/>
    <w:rsid w:val="00EA0928"/>
    <w:rsid w:val="00EA10FA"/>
    <w:rsid w:val="00EA118B"/>
    <w:rsid w:val="00EA2901"/>
    <w:rsid w:val="00EA2A87"/>
    <w:rsid w:val="00EA3C3B"/>
    <w:rsid w:val="00EA4258"/>
    <w:rsid w:val="00EA46B0"/>
    <w:rsid w:val="00EA46B8"/>
    <w:rsid w:val="00EA470A"/>
    <w:rsid w:val="00EA55F8"/>
    <w:rsid w:val="00EA575F"/>
    <w:rsid w:val="00EA5898"/>
    <w:rsid w:val="00EA6137"/>
    <w:rsid w:val="00EA6AA9"/>
    <w:rsid w:val="00EA6E36"/>
    <w:rsid w:val="00EA701F"/>
    <w:rsid w:val="00EA7D29"/>
    <w:rsid w:val="00EB0423"/>
    <w:rsid w:val="00EB325F"/>
    <w:rsid w:val="00EB334A"/>
    <w:rsid w:val="00EB3BA1"/>
    <w:rsid w:val="00EB3C12"/>
    <w:rsid w:val="00EB4437"/>
    <w:rsid w:val="00EB48CD"/>
    <w:rsid w:val="00EB4930"/>
    <w:rsid w:val="00EB65C8"/>
    <w:rsid w:val="00EB6D64"/>
    <w:rsid w:val="00EB716F"/>
    <w:rsid w:val="00EB748C"/>
    <w:rsid w:val="00EB759D"/>
    <w:rsid w:val="00EB765D"/>
    <w:rsid w:val="00EC0141"/>
    <w:rsid w:val="00EC0175"/>
    <w:rsid w:val="00EC056A"/>
    <w:rsid w:val="00EC05E0"/>
    <w:rsid w:val="00EC099A"/>
    <w:rsid w:val="00EC0B51"/>
    <w:rsid w:val="00EC0C9B"/>
    <w:rsid w:val="00EC0DF7"/>
    <w:rsid w:val="00EC17E3"/>
    <w:rsid w:val="00EC1ABA"/>
    <w:rsid w:val="00EC2448"/>
    <w:rsid w:val="00EC29E7"/>
    <w:rsid w:val="00EC2FEA"/>
    <w:rsid w:val="00EC384D"/>
    <w:rsid w:val="00EC4510"/>
    <w:rsid w:val="00EC4A6E"/>
    <w:rsid w:val="00EC62BE"/>
    <w:rsid w:val="00EC6B9E"/>
    <w:rsid w:val="00EC721B"/>
    <w:rsid w:val="00EC7929"/>
    <w:rsid w:val="00EC7A2F"/>
    <w:rsid w:val="00EC7E65"/>
    <w:rsid w:val="00EC7F7A"/>
    <w:rsid w:val="00ED01AB"/>
    <w:rsid w:val="00ED039F"/>
    <w:rsid w:val="00ED047A"/>
    <w:rsid w:val="00ED1080"/>
    <w:rsid w:val="00ED26D1"/>
    <w:rsid w:val="00ED3273"/>
    <w:rsid w:val="00ED3B0C"/>
    <w:rsid w:val="00ED4372"/>
    <w:rsid w:val="00ED5031"/>
    <w:rsid w:val="00ED5C38"/>
    <w:rsid w:val="00ED5C4C"/>
    <w:rsid w:val="00ED5D0B"/>
    <w:rsid w:val="00ED6950"/>
    <w:rsid w:val="00ED7226"/>
    <w:rsid w:val="00ED7585"/>
    <w:rsid w:val="00ED786F"/>
    <w:rsid w:val="00ED7B64"/>
    <w:rsid w:val="00ED7EDF"/>
    <w:rsid w:val="00EE06BB"/>
    <w:rsid w:val="00EE0896"/>
    <w:rsid w:val="00EE0CEB"/>
    <w:rsid w:val="00EE0D72"/>
    <w:rsid w:val="00EE0E47"/>
    <w:rsid w:val="00EE1E28"/>
    <w:rsid w:val="00EE2053"/>
    <w:rsid w:val="00EE2143"/>
    <w:rsid w:val="00EE2EE8"/>
    <w:rsid w:val="00EE464C"/>
    <w:rsid w:val="00EE675E"/>
    <w:rsid w:val="00EE67F2"/>
    <w:rsid w:val="00EE6B2A"/>
    <w:rsid w:val="00EE6DD1"/>
    <w:rsid w:val="00EE6F6A"/>
    <w:rsid w:val="00EF0078"/>
    <w:rsid w:val="00EF0338"/>
    <w:rsid w:val="00EF0AAA"/>
    <w:rsid w:val="00EF1495"/>
    <w:rsid w:val="00EF20DA"/>
    <w:rsid w:val="00EF21D3"/>
    <w:rsid w:val="00EF29CC"/>
    <w:rsid w:val="00EF30A0"/>
    <w:rsid w:val="00EF33FD"/>
    <w:rsid w:val="00EF3E9E"/>
    <w:rsid w:val="00EF50A6"/>
    <w:rsid w:val="00EF52A8"/>
    <w:rsid w:val="00EF56AD"/>
    <w:rsid w:val="00EF58E3"/>
    <w:rsid w:val="00EF5B2B"/>
    <w:rsid w:val="00EF6402"/>
    <w:rsid w:val="00EF6431"/>
    <w:rsid w:val="00EF6975"/>
    <w:rsid w:val="00EF6A03"/>
    <w:rsid w:val="00EF757F"/>
    <w:rsid w:val="00EF7AC7"/>
    <w:rsid w:val="00F0013A"/>
    <w:rsid w:val="00F00A52"/>
    <w:rsid w:val="00F01939"/>
    <w:rsid w:val="00F01CB1"/>
    <w:rsid w:val="00F01CCF"/>
    <w:rsid w:val="00F01EA7"/>
    <w:rsid w:val="00F01F08"/>
    <w:rsid w:val="00F02230"/>
    <w:rsid w:val="00F0326B"/>
    <w:rsid w:val="00F03764"/>
    <w:rsid w:val="00F040E6"/>
    <w:rsid w:val="00F04812"/>
    <w:rsid w:val="00F04CAB"/>
    <w:rsid w:val="00F054B2"/>
    <w:rsid w:val="00F056E2"/>
    <w:rsid w:val="00F05C9F"/>
    <w:rsid w:val="00F05D95"/>
    <w:rsid w:val="00F063D8"/>
    <w:rsid w:val="00F06B46"/>
    <w:rsid w:val="00F06D9E"/>
    <w:rsid w:val="00F07077"/>
    <w:rsid w:val="00F07925"/>
    <w:rsid w:val="00F07E7C"/>
    <w:rsid w:val="00F07F24"/>
    <w:rsid w:val="00F105F2"/>
    <w:rsid w:val="00F10F7F"/>
    <w:rsid w:val="00F1106C"/>
    <w:rsid w:val="00F11316"/>
    <w:rsid w:val="00F113D9"/>
    <w:rsid w:val="00F11A41"/>
    <w:rsid w:val="00F12CFE"/>
    <w:rsid w:val="00F12F9B"/>
    <w:rsid w:val="00F13CEE"/>
    <w:rsid w:val="00F13E65"/>
    <w:rsid w:val="00F1408A"/>
    <w:rsid w:val="00F1415F"/>
    <w:rsid w:val="00F141C9"/>
    <w:rsid w:val="00F14ADF"/>
    <w:rsid w:val="00F15BAC"/>
    <w:rsid w:val="00F16A9B"/>
    <w:rsid w:val="00F16AEC"/>
    <w:rsid w:val="00F16FA7"/>
    <w:rsid w:val="00F1766B"/>
    <w:rsid w:val="00F1777F"/>
    <w:rsid w:val="00F17A8B"/>
    <w:rsid w:val="00F20456"/>
    <w:rsid w:val="00F2088A"/>
    <w:rsid w:val="00F2127F"/>
    <w:rsid w:val="00F2131F"/>
    <w:rsid w:val="00F21472"/>
    <w:rsid w:val="00F218D4"/>
    <w:rsid w:val="00F21954"/>
    <w:rsid w:val="00F2212A"/>
    <w:rsid w:val="00F2250A"/>
    <w:rsid w:val="00F23A65"/>
    <w:rsid w:val="00F23D30"/>
    <w:rsid w:val="00F257BF"/>
    <w:rsid w:val="00F25C08"/>
    <w:rsid w:val="00F25CC4"/>
    <w:rsid w:val="00F2626D"/>
    <w:rsid w:val="00F264AA"/>
    <w:rsid w:val="00F269C2"/>
    <w:rsid w:val="00F2719A"/>
    <w:rsid w:val="00F271D4"/>
    <w:rsid w:val="00F30CDC"/>
    <w:rsid w:val="00F30D76"/>
    <w:rsid w:val="00F31CB9"/>
    <w:rsid w:val="00F3388C"/>
    <w:rsid w:val="00F33CD9"/>
    <w:rsid w:val="00F33F67"/>
    <w:rsid w:val="00F3473B"/>
    <w:rsid w:val="00F353DE"/>
    <w:rsid w:val="00F35529"/>
    <w:rsid w:val="00F3669E"/>
    <w:rsid w:val="00F36797"/>
    <w:rsid w:val="00F36E36"/>
    <w:rsid w:val="00F37A88"/>
    <w:rsid w:val="00F40FB1"/>
    <w:rsid w:val="00F40FF2"/>
    <w:rsid w:val="00F411F3"/>
    <w:rsid w:val="00F41A55"/>
    <w:rsid w:val="00F41D63"/>
    <w:rsid w:val="00F41F29"/>
    <w:rsid w:val="00F42716"/>
    <w:rsid w:val="00F42D02"/>
    <w:rsid w:val="00F44980"/>
    <w:rsid w:val="00F449C9"/>
    <w:rsid w:val="00F45BF0"/>
    <w:rsid w:val="00F45FC7"/>
    <w:rsid w:val="00F46593"/>
    <w:rsid w:val="00F466F5"/>
    <w:rsid w:val="00F46974"/>
    <w:rsid w:val="00F46C83"/>
    <w:rsid w:val="00F46ECF"/>
    <w:rsid w:val="00F50651"/>
    <w:rsid w:val="00F50807"/>
    <w:rsid w:val="00F50DB1"/>
    <w:rsid w:val="00F50FFC"/>
    <w:rsid w:val="00F5127C"/>
    <w:rsid w:val="00F51F03"/>
    <w:rsid w:val="00F52238"/>
    <w:rsid w:val="00F528B9"/>
    <w:rsid w:val="00F52C9F"/>
    <w:rsid w:val="00F53F62"/>
    <w:rsid w:val="00F54165"/>
    <w:rsid w:val="00F54444"/>
    <w:rsid w:val="00F54674"/>
    <w:rsid w:val="00F546F5"/>
    <w:rsid w:val="00F549C5"/>
    <w:rsid w:val="00F5537E"/>
    <w:rsid w:val="00F5588C"/>
    <w:rsid w:val="00F558BA"/>
    <w:rsid w:val="00F55F03"/>
    <w:rsid w:val="00F565BF"/>
    <w:rsid w:val="00F56AE2"/>
    <w:rsid w:val="00F56F87"/>
    <w:rsid w:val="00F579D8"/>
    <w:rsid w:val="00F57A21"/>
    <w:rsid w:val="00F61DE5"/>
    <w:rsid w:val="00F61FBE"/>
    <w:rsid w:val="00F62997"/>
    <w:rsid w:val="00F62DDE"/>
    <w:rsid w:val="00F62F2B"/>
    <w:rsid w:val="00F6328A"/>
    <w:rsid w:val="00F64108"/>
    <w:rsid w:val="00F65024"/>
    <w:rsid w:val="00F65138"/>
    <w:rsid w:val="00F6527C"/>
    <w:rsid w:val="00F653D9"/>
    <w:rsid w:val="00F659AA"/>
    <w:rsid w:val="00F65B4C"/>
    <w:rsid w:val="00F66369"/>
    <w:rsid w:val="00F666BD"/>
    <w:rsid w:val="00F704C7"/>
    <w:rsid w:val="00F7070C"/>
    <w:rsid w:val="00F7078E"/>
    <w:rsid w:val="00F70ADB"/>
    <w:rsid w:val="00F70E58"/>
    <w:rsid w:val="00F71136"/>
    <w:rsid w:val="00F71DED"/>
    <w:rsid w:val="00F72C74"/>
    <w:rsid w:val="00F72EE8"/>
    <w:rsid w:val="00F7352D"/>
    <w:rsid w:val="00F73FF3"/>
    <w:rsid w:val="00F742F7"/>
    <w:rsid w:val="00F74DCF"/>
    <w:rsid w:val="00F75D4D"/>
    <w:rsid w:val="00F75E02"/>
    <w:rsid w:val="00F76539"/>
    <w:rsid w:val="00F76C57"/>
    <w:rsid w:val="00F779EB"/>
    <w:rsid w:val="00F80819"/>
    <w:rsid w:val="00F80C09"/>
    <w:rsid w:val="00F80CCF"/>
    <w:rsid w:val="00F80E53"/>
    <w:rsid w:val="00F80FE1"/>
    <w:rsid w:val="00F818A4"/>
    <w:rsid w:val="00F81A06"/>
    <w:rsid w:val="00F81F39"/>
    <w:rsid w:val="00F8201F"/>
    <w:rsid w:val="00F82AE0"/>
    <w:rsid w:val="00F8307B"/>
    <w:rsid w:val="00F83550"/>
    <w:rsid w:val="00F83ED9"/>
    <w:rsid w:val="00F84FD4"/>
    <w:rsid w:val="00F85C55"/>
    <w:rsid w:val="00F86014"/>
    <w:rsid w:val="00F86420"/>
    <w:rsid w:val="00F87156"/>
    <w:rsid w:val="00F876B1"/>
    <w:rsid w:val="00F91272"/>
    <w:rsid w:val="00F92227"/>
    <w:rsid w:val="00F922C0"/>
    <w:rsid w:val="00F922F5"/>
    <w:rsid w:val="00F922F8"/>
    <w:rsid w:val="00F92778"/>
    <w:rsid w:val="00F932D6"/>
    <w:rsid w:val="00F935C6"/>
    <w:rsid w:val="00F9361B"/>
    <w:rsid w:val="00F93D41"/>
    <w:rsid w:val="00F9426C"/>
    <w:rsid w:val="00F94337"/>
    <w:rsid w:val="00F94E37"/>
    <w:rsid w:val="00F950AD"/>
    <w:rsid w:val="00F95749"/>
    <w:rsid w:val="00F96CCA"/>
    <w:rsid w:val="00F96EAA"/>
    <w:rsid w:val="00F97235"/>
    <w:rsid w:val="00F97891"/>
    <w:rsid w:val="00F97D3B"/>
    <w:rsid w:val="00F97F08"/>
    <w:rsid w:val="00FA1795"/>
    <w:rsid w:val="00FA1A7D"/>
    <w:rsid w:val="00FA28CA"/>
    <w:rsid w:val="00FA2B93"/>
    <w:rsid w:val="00FA3956"/>
    <w:rsid w:val="00FA3A5F"/>
    <w:rsid w:val="00FA3B7E"/>
    <w:rsid w:val="00FA3BF9"/>
    <w:rsid w:val="00FA407B"/>
    <w:rsid w:val="00FA41EE"/>
    <w:rsid w:val="00FA4C81"/>
    <w:rsid w:val="00FA4F4C"/>
    <w:rsid w:val="00FA5267"/>
    <w:rsid w:val="00FA52DB"/>
    <w:rsid w:val="00FA6187"/>
    <w:rsid w:val="00FA64AD"/>
    <w:rsid w:val="00FA6560"/>
    <w:rsid w:val="00FA7313"/>
    <w:rsid w:val="00FA73DB"/>
    <w:rsid w:val="00FA74BC"/>
    <w:rsid w:val="00FA75DE"/>
    <w:rsid w:val="00FB1492"/>
    <w:rsid w:val="00FB176A"/>
    <w:rsid w:val="00FB2252"/>
    <w:rsid w:val="00FB23B2"/>
    <w:rsid w:val="00FB2AB0"/>
    <w:rsid w:val="00FB2C57"/>
    <w:rsid w:val="00FB3A9E"/>
    <w:rsid w:val="00FB3BC1"/>
    <w:rsid w:val="00FB448B"/>
    <w:rsid w:val="00FB46EC"/>
    <w:rsid w:val="00FB49B8"/>
    <w:rsid w:val="00FB4CC7"/>
    <w:rsid w:val="00FB55A5"/>
    <w:rsid w:val="00FB5666"/>
    <w:rsid w:val="00FB5CCB"/>
    <w:rsid w:val="00FB5CCE"/>
    <w:rsid w:val="00FB6F20"/>
    <w:rsid w:val="00FB7258"/>
    <w:rsid w:val="00FB7D22"/>
    <w:rsid w:val="00FC0AD9"/>
    <w:rsid w:val="00FC13C0"/>
    <w:rsid w:val="00FC1480"/>
    <w:rsid w:val="00FC1491"/>
    <w:rsid w:val="00FC150E"/>
    <w:rsid w:val="00FC1C96"/>
    <w:rsid w:val="00FC21A3"/>
    <w:rsid w:val="00FC2CC4"/>
    <w:rsid w:val="00FC3515"/>
    <w:rsid w:val="00FC3A15"/>
    <w:rsid w:val="00FC4A9D"/>
    <w:rsid w:val="00FC509E"/>
    <w:rsid w:val="00FC5165"/>
    <w:rsid w:val="00FC5533"/>
    <w:rsid w:val="00FC686D"/>
    <w:rsid w:val="00FC687D"/>
    <w:rsid w:val="00FC68AA"/>
    <w:rsid w:val="00FC6EB9"/>
    <w:rsid w:val="00FC79A2"/>
    <w:rsid w:val="00FC7A2E"/>
    <w:rsid w:val="00FC7E8E"/>
    <w:rsid w:val="00FD0264"/>
    <w:rsid w:val="00FD05FE"/>
    <w:rsid w:val="00FD19AF"/>
    <w:rsid w:val="00FD21F5"/>
    <w:rsid w:val="00FD21FE"/>
    <w:rsid w:val="00FD2A53"/>
    <w:rsid w:val="00FD37D8"/>
    <w:rsid w:val="00FD3888"/>
    <w:rsid w:val="00FD3BBB"/>
    <w:rsid w:val="00FD3CD1"/>
    <w:rsid w:val="00FD3F3E"/>
    <w:rsid w:val="00FD422A"/>
    <w:rsid w:val="00FD4769"/>
    <w:rsid w:val="00FD5D4D"/>
    <w:rsid w:val="00FD6424"/>
    <w:rsid w:val="00FD6BB7"/>
    <w:rsid w:val="00FD7476"/>
    <w:rsid w:val="00FD7B60"/>
    <w:rsid w:val="00FD7D9E"/>
    <w:rsid w:val="00FE01AA"/>
    <w:rsid w:val="00FE02C2"/>
    <w:rsid w:val="00FE05BA"/>
    <w:rsid w:val="00FE0675"/>
    <w:rsid w:val="00FE06A8"/>
    <w:rsid w:val="00FE0846"/>
    <w:rsid w:val="00FE0B8F"/>
    <w:rsid w:val="00FE1133"/>
    <w:rsid w:val="00FE1639"/>
    <w:rsid w:val="00FE2D08"/>
    <w:rsid w:val="00FE2E92"/>
    <w:rsid w:val="00FE3646"/>
    <w:rsid w:val="00FE3920"/>
    <w:rsid w:val="00FE39F0"/>
    <w:rsid w:val="00FE3A97"/>
    <w:rsid w:val="00FE3B2C"/>
    <w:rsid w:val="00FE488A"/>
    <w:rsid w:val="00FE49D4"/>
    <w:rsid w:val="00FE4B88"/>
    <w:rsid w:val="00FE4EAF"/>
    <w:rsid w:val="00FE5142"/>
    <w:rsid w:val="00FE51B3"/>
    <w:rsid w:val="00FE5F50"/>
    <w:rsid w:val="00FE611B"/>
    <w:rsid w:val="00FE6569"/>
    <w:rsid w:val="00FE69F0"/>
    <w:rsid w:val="00FE6B6B"/>
    <w:rsid w:val="00FE752F"/>
    <w:rsid w:val="00FE7952"/>
    <w:rsid w:val="00FE7DD4"/>
    <w:rsid w:val="00FF04BB"/>
    <w:rsid w:val="00FF054F"/>
    <w:rsid w:val="00FF1B5B"/>
    <w:rsid w:val="00FF1F6A"/>
    <w:rsid w:val="00FF29E5"/>
    <w:rsid w:val="00FF301F"/>
    <w:rsid w:val="00FF30EC"/>
    <w:rsid w:val="00FF3E73"/>
    <w:rsid w:val="00FF4317"/>
    <w:rsid w:val="00FF4835"/>
    <w:rsid w:val="00FF49B7"/>
    <w:rsid w:val="00FF4E89"/>
    <w:rsid w:val="00FF5EC2"/>
    <w:rsid w:val="00FF6DC9"/>
    <w:rsid w:val="00FF6EBD"/>
    <w:rsid w:val="00FF7489"/>
    <w:rsid w:val="00FF760D"/>
    <w:rsid w:val="00FF7871"/>
    <w:rsid w:val="017DA18D"/>
    <w:rsid w:val="026813B9"/>
    <w:rsid w:val="02D2D4B3"/>
    <w:rsid w:val="043D9769"/>
    <w:rsid w:val="05437FFC"/>
    <w:rsid w:val="05F9AACE"/>
    <w:rsid w:val="066ED6FA"/>
    <w:rsid w:val="0755515B"/>
    <w:rsid w:val="076BEF7D"/>
    <w:rsid w:val="07C07A05"/>
    <w:rsid w:val="07CB25CA"/>
    <w:rsid w:val="0A16F11F"/>
    <w:rsid w:val="0A982E5A"/>
    <w:rsid w:val="0C68EC52"/>
    <w:rsid w:val="0CCE8B86"/>
    <w:rsid w:val="0D20F79A"/>
    <w:rsid w:val="0EB41D5C"/>
    <w:rsid w:val="0F8764B7"/>
    <w:rsid w:val="0FE76839"/>
    <w:rsid w:val="1036F46C"/>
    <w:rsid w:val="104FEDBD"/>
    <w:rsid w:val="116C9B8E"/>
    <w:rsid w:val="11E9DFB8"/>
    <w:rsid w:val="1244BE28"/>
    <w:rsid w:val="137A451F"/>
    <w:rsid w:val="13A4AB08"/>
    <w:rsid w:val="151AC944"/>
    <w:rsid w:val="15654879"/>
    <w:rsid w:val="15B7AB36"/>
    <w:rsid w:val="15D8ABB5"/>
    <w:rsid w:val="16ADCC5E"/>
    <w:rsid w:val="1818E5DE"/>
    <w:rsid w:val="1856EB95"/>
    <w:rsid w:val="18E03C30"/>
    <w:rsid w:val="1914136D"/>
    <w:rsid w:val="193976D6"/>
    <w:rsid w:val="1ABF9D3E"/>
    <w:rsid w:val="1B93FD02"/>
    <w:rsid w:val="1CAB0462"/>
    <w:rsid w:val="1D573201"/>
    <w:rsid w:val="1DD73314"/>
    <w:rsid w:val="1DE7F798"/>
    <w:rsid w:val="1E2637AA"/>
    <w:rsid w:val="1E2E7A24"/>
    <w:rsid w:val="1E5916FE"/>
    <w:rsid w:val="1F765A7A"/>
    <w:rsid w:val="209B90ED"/>
    <w:rsid w:val="2190B7C0"/>
    <w:rsid w:val="222D1BD5"/>
    <w:rsid w:val="23EB0274"/>
    <w:rsid w:val="246462CD"/>
    <w:rsid w:val="259B0865"/>
    <w:rsid w:val="25CE2AE7"/>
    <w:rsid w:val="2641CFC5"/>
    <w:rsid w:val="2695E5BC"/>
    <w:rsid w:val="279B7A1C"/>
    <w:rsid w:val="280AFF97"/>
    <w:rsid w:val="29D13AE3"/>
    <w:rsid w:val="2BBAD5BE"/>
    <w:rsid w:val="2CF2D6EA"/>
    <w:rsid w:val="2D0BC299"/>
    <w:rsid w:val="2DBE5715"/>
    <w:rsid w:val="2DCE8501"/>
    <w:rsid w:val="3023FFA3"/>
    <w:rsid w:val="315E7097"/>
    <w:rsid w:val="319D4462"/>
    <w:rsid w:val="32451EAA"/>
    <w:rsid w:val="32D3E258"/>
    <w:rsid w:val="33C63274"/>
    <w:rsid w:val="33E5F294"/>
    <w:rsid w:val="33FB9B46"/>
    <w:rsid w:val="349D07C4"/>
    <w:rsid w:val="35EA1D1C"/>
    <w:rsid w:val="36CBF603"/>
    <w:rsid w:val="39D7C83A"/>
    <w:rsid w:val="3A60F32C"/>
    <w:rsid w:val="3ADA23BB"/>
    <w:rsid w:val="3B01309C"/>
    <w:rsid w:val="3B0E7030"/>
    <w:rsid w:val="3B22BC3C"/>
    <w:rsid w:val="3CBBEE9C"/>
    <w:rsid w:val="3D83886B"/>
    <w:rsid w:val="3E4E4BE4"/>
    <w:rsid w:val="3FC9D100"/>
    <w:rsid w:val="3FF62D5F"/>
    <w:rsid w:val="4032A90B"/>
    <w:rsid w:val="405AAC87"/>
    <w:rsid w:val="4096FFE2"/>
    <w:rsid w:val="44754CF9"/>
    <w:rsid w:val="49C53092"/>
    <w:rsid w:val="4A86B7BB"/>
    <w:rsid w:val="4D125948"/>
    <w:rsid w:val="4DC24C3C"/>
    <w:rsid w:val="4DE23A17"/>
    <w:rsid w:val="4EF15230"/>
    <w:rsid w:val="5017F5DC"/>
    <w:rsid w:val="50B33BBA"/>
    <w:rsid w:val="5370ED7B"/>
    <w:rsid w:val="5437B4DE"/>
    <w:rsid w:val="546B544D"/>
    <w:rsid w:val="550497D9"/>
    <w:rsid w:val="5517B2DA"/>
    <w:rsid w:val="576E6A28"/>
    <w:rsid w:val="5B20AC70"/>
    <w:rsid w:val="5B4360AC"/>
    <w:rsid w:val="5C72BAE7"/>
    <w:rsid w:val="5CA6C4F2"/>
    <w:rsid w:val="5E8E57AC"/>
    <w:rsid w:val="5F94E770"/>
    <w:rsid w:val="61F626FE"/>
    <w:rsid w:val="6470BBEE"/>
    <w:rsid w:val="648BC1A1"/>
    <w:rsid w:val="659FB0B4"/>
    <w:rsid w:val="673043C3"/>
    <w:rsid w:val="67E4755C"/>
    <w:rsid w:val="6868C287"/>
    <w:rsid w:val="6ABD6379"/>
    <w:rsid w:val="6B478C26"/>
    <w:rsid w:val="6B97B4C2"/>
    <w:rsid w:val="6BC8C89B"/>
    <w:rsid w:val="6BE0D143"/>
    <w:rsid w:val="6EAADF4A"/>
    <w:rsid w:val="6EB62D27"/>
    <w:rsid w:val="6F2CE684"/>
    <w:rsid w:val="6F92B0C9"/>
    <w:rsid w:val="706AA120"/>
    <w:rsid w:val="7158BA55"/>
    <w:rsid w:val="71D091EF"/>
    <w:rsid w:val="73A6490A"/>
    <w:rsid w:val="740C7909"/>
    <w:rsid w:val="75DB997D"/>
    <w:rsid w:val="768C9AB1"/>
    <w:rsid w:val="76FBE8DB"/>
    <w:rsid w:val="7896C2CF"/>
    <w:rsid w:val="795A0D8F"/>
    <w:rsid w:val="79DD7023"/>
    <w:rsid w:val="7CB38B91"/>
    <w:rsid w:val="7CF33115"/>
    <w:rsid w:val="7D2C6CF3"/>
    <w:rsid w:val="7D926BE8"/>
    <w:rsid w:val="7E3D7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47A"/>
  </w:style>
  <w:style w:type="paragraph" w:styleId="Heading1">
    <w:name w:val="heading 1"/>
    <w:basedOn w:val="Normal"/>
    <w:next w:val="Normal"/>
    <w:qFormat/>
    <w:rsid w:val="0010791E"/>
    <w:pPr>
      <w:numPr>
        <w:numId w:val="4"/>
      </w:numPr>
      <w:shd w:val="clear" w:color="auto" w:fill="000000" w:themeFill="text1"/>
      <w:tabs>
        <w:tab w:val="left" w:pos="360"/>
      </w:tabs>
      <w:autoSpaceDE w:val="0"/>
      <w:autoSpaceDN w:val="0"/>
      <w:adjustRightInd w:val="0"/>
      <w:ind w:left="0" w:firstLine="0"/>
      <w:outlineLvl w:val="0"/>
    </w:pPr>
    <w:rPr>
      <w:b/>
      <w:bCs/>
      <w:color w:val="FFFFFF" w:themeColor="background1"/>
    </w:rPr>
  </w:style>
  <w:style w:type="paragraph" w:styleId="Heading2">
    <w:name w:val="heading 2"/>
    <w:basedOn w:val="Normal"/>
    <w:next w:val="Normal"/>
    <w:link w:val="Heading2Char"/>
    <w:autoRedefine/>
    <w:qFormat/>
    <w:rsid w:val="00580B36"/>
    <w:pPr>
      <w:keepNext/>
      <w:numPr>
        <w:ilvl w:val="1"/>
        <w:numId w:val="4"/>
      </w:numPr>
      <w:shd w:val="clear" w:color="auto" w:fill="D9D9D9" w:themeFill="background1" w:themeFillShade="D9"/>
      <w:tabs>
        <w:tab w:val="left" w:pos="450"/>
      </w:tabs>
      <w:autoSpaceDE w:val="0"/>
      <w:autoSpaceDN w:val="0"/>
      <w:adjustRightInd w:val="0"/>
      <w:ind w:left="0" w:firstLine="0"/>
      <w:outlineLvl w:val="1"/>
    </w:pPr>
    <w:rPr>
      <w:bCs/>
      <w:iCs/>
    </w:rPr>
  </w:style>
  <w:style w:type="paragraph" w:styleId="Heading3">
    <w:name w:val="heading 3"/>
    <w:basedOn w:val="Normal"/>
    <w:next w:val="Normal"/>
    <w:link w:val="Heading3Char"/>
    <w:qFormat/>
    <w:rsid w:val="00FD4769"/>
    <w:pPr>
      <w:keepNext/>
      <w:numPr>
        <w:ilvl w:val="2"/>
        <w:numId w:val="4"/>
      </w:numPr>
      <w:ind w:left="720"/>
      <w:outlineLvl w:val="2"/>
    </w:pPr>
    <w:rPr>
      <w:color w:val="000000" w:themeColor="text1"/>
      <w:szCs w:val="26"/>
    </w:rPr>
  </w:style>
  <w:style w:type="paragraph" w:styleId="Heading4">
    <w:name w:val="heading 4"/>
    <w:basedOn w:val="Normal"/>
    <w:next w:val="Normal"/>
    <w:qFormat/>
    <w:rsid w:val="00013267"/>
    <w:pPr>
      <w:keepNext/>
      <w:numPr>
        <w:ilvl w:val="3"/>
        <w:numId w:val="4"/>
      </w:numPr>
      <w:spacing w:before="240" w:after="60"/>
      <w:outlineLvl w:val="3"/>
    </w:pPr>
  </w:style>
  <w:style w:type="paragraph" w:styleId="Heading5">
    <w:name w:val="heading 5"/>
    <w:basedOn w:val="Normal"/>
    <w:next w:val="Normal"/>
    <w:link w:val="Heading5Char"/>
    <w:semiHidden/>
    <w:unhideWhenUsed/>
    <w:qFormat/>
    <w:rsid w:val="0010791E"/>
    <w:pPr>
      <w:keepNext/>
      <w:keepLines/>
      <w:numPr>
        <w:ilvl w:val="4"/>
        <w:numId w:val="4"/>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D6566C"/>
    <w:pPr>
      <w:keepNext/>
      <w:numPr>
        <w:ilvl w:val="5"/>
        <w:numId w:val="4"/>
      </w:numPr>
      <w:jc w:val="center"/>
      <w:outlineLvl w:val="5"/>
    </w:pPr>
    <w:rPr>
      <w:rFonts w:ascii="Arial Narrow" w:hAnsi="Arial Narrow"/>
      <w:b/>
      <w:bCs/>
    </w:rPr>
  </w:style>
  <w:style w:type="paragraph" w:styleId="Heading7">
    <w:name w:val="heading 7"/>
    <w:basedOn w:val="Normal"/>
    <w:next w:val="Normal"/>
    <w:link w:val="Heading7Char"/>
    <w:semiHidden/>
    <w:unhideWhenUsed/>
    <w:qFormat/>
    <w:rsid w:val="0010791E"/>
    <w:pPr>
      <w:keepNext/>
      <w:keepLines/>
      <w:numPr>
        <w:ilvl w:val="6"/>
        <w:numId w:val="4"/>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0791E"/>
    <w:pPr>
      <w:keepNext/>
      <w:keepLines/>
      <w:numPr>
        <w:ilvl w:val="7"/>
        <w:numId w:val="4"/>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0791E"/>
    <w:pPr>
      <w:keepNext/>
      <w:keepLines/>
      <w:numPr>
        <w:ilvl w:val="8"/>
        <w:numId w:val="4"/>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9630F5"/>
    <w:rPr>
      <w:sz w:val="16"/>
      <w:szCs w:val="16"/>
    </w:rPr>
  </w:style>
  <w:style w:type="paragraph" w:styleId="CommentText">
    <w:name w:val="annotation text"/>
    <w:basedOn w:val="Normal"/>
    <w:link w:val="CommentTextChar"/>
    <w:uiPriority w:val="99"/>
    <w:rsid w:val="009630F5"/>
  </w:style>
  <w:style w:type="paragraph" w:styleId="BalloonText">
    <w:name w:val="Balloon Text"/>
    <w:basedOn w:val="Normal"/>
    <w:semiHidden/>
    <w:rsid w:val="009630F5"/>
    <w:rPr>
      <w:rFonts w:ascii="Tahoma" w:hAnsi="Tahoma" w:cs="Tahoma"/>
      <w:sz w:val="16"/>
      <w:szCs w:val="16"/>
    </w:rPr>
  </w:style>
  <w:style w:type="paragraph" w:styleId="Title">
    <w:name w:val="Title"/>
    <w:basedOn w:val="Normal"/>
    <w:qFormat/>
    <w:rsid w:val="00EA0567"/>
    <w:pPr>
      <w:jc w:val="center"/>
    </w:pPr>
    <w:rPr>
      <w:b/>
      <w:bCs/>
      <w:u w:val="single"/>
    </w:rPr>
  </w:style>
  <w:style w:type="character" w:styleId="Hyperlink">
    <w:name w:val="Hyperlink"/>
    <w:basedOn w:val="DefaultParagraphFont"/>
    <w:rsid w:val="00AF7C5A"/>
    <w:rPr>
      <w:color w:val="0000FF"/>
      <w:u w:val="single"/>
    </w:rPr>
  </w:style>
  <w:style w:type="paragraph" w:styleId="BodyText2">
    <w:name w:val="Body Text 2"/>
    <w:basedOn w:val="Normal"/>
    <w:rsid w:val="00D6566C"/>
    <w:pPr>
      <w:autoSpaceDE w:val="0"/>
      <w:autoSpaceDN w:val="0"/>
      <w:adjustRightInd w:val="0"/>
    </w:pPr>
    <w:rPr>
      <w:rFonts w:ascii="Arial Narrow" w:hAnsi="Arial Narrow"/>
      <w:bCs/>
      <w:sz w:val="18"/>
      <w:szCs w:val="18"/>
    </w:rPr>
  </w:style>
  <w:style w:type="paragraph" w:styleId="Header">
    <w:name w:val="header"/>
    <w:basedOn w:val="Normal"/>
    <w:rsid w:val="00B53B9D"/>
    <w:pPr>
      <w:tabs>
        <w:tab w:val="center" w:pos="4320"/>
        <w:tab w:val="right" w:pos="8640"/>
      </w:tabs>
    </w:pPr>
  </w:style>
  <w:style w:type="paragraph" w:styleId="Footer">
    <w:name w:val="footer"/>
    <w:basedOn w:val="Normal"/>
    <w:rsid w:val="00B53B9D"/>
    <w:pPr>
      <w:tabs>
        <w:tab w:val="center" w:pos="4320"/>
        <w:tab w:val="right" w:pos="8640"/>
      </w:tabs>
    </w:pPr>
  </w:style>
  <w:style w:type="character" w:styleId="PageNumber">
    <w:name w:val="page number"/>
    <w:basedOn w:val="DefaultParagraphFont"/>
    <w:rsid w:val="00B53B9D"/>
  </w:style>
  <w:style w:type="character" w:styleId="FollowedHyperlink">
    <w:name w:val="FollowedHyperlink"/>
    <w:basedOn w:val="DefaultParagraphFont"/>
    <w:rsid w:val="00BB23A0"/>
    <w:rPr>
      <w:color w:val="800080"/>
      <w:u w:val="single"/>
    </w:rPr>
  </w:style>
  <w:style w:type="paragraph" w:styleId="CommentSubject">
    <w:name w:val="annotation subject"/>
    <w:basedOn w:val="CommentText"/>
    <w:next w:val="CommentText"/>
    <w:semiHidden/>
    <w:rsid w:val="00692D4F"/>
    <w:rPr>
      <w:b/>
      <w:bCs/>
    </w:rPr>
  </w:style>
  <w:style w:type="paragraph" w:styleId="List">
    <w:name w:val="List"/>
    <w:basedOn w:val="Normal"/>
    <w:rsid w:val="00074621"/>
    <w:pPr>
      <w:ind w:left="360" w:hanging="360"/>
    </w:pPr>
  </w:style>
  <w:style w:type="paragraph" w:styleId="ListContinue">
    <w:name w:val="List Continue"/>
    <w:basedOn w:val="Normal"/>
    <w:rsid w:val="00074621"/>
    <w:pPr>
      <w:spacing w:after="120"/>
      <w:ind w:left="360"/>
    </w:pPr>
  </w:style>
  <w:style w:type="paragraph" w:styleId="BodyText">
    <w:name w:val="Body Text"/>
    <w:basedOn w:val="Normal"/>
    <w:link w:val="BodyTextChar"/>
    <w:uiPriority w:val="99"/>
    <w:rsid w:val="00074621"/>
    <w:pPr>
      <w:spacing w:after="120"/>
    </w:pPr>
  </w:style>
  <w:style w:type="paragraph" w:styleId="BodyTextFirstIndent">
    <w:name w:val="Body Text First Indent"/>
    <w:basedOn w:val="BodyText"/>
    <w:link w:val="BodyTextFirstIndentChar"/>
    <w:uiPriority w:val="99"/>
    <w:rsid w:val="00074621"/>
    <w:pPr>
      <w:ind w:firstLine="210"/>
    </w:pPr>
  </w:style>
  <w:style w:type="character" w:styleId="Emphasis">
    <w:name w:val="Emphasis"/>
    <w:basedOn w:val="DefaultParagraphFont"/>
    <w:uiPriority w:val="20"/>
    <w:qFormat/>
    <w:rsid w:val="00F31CB9"/>
    <w:rPr>
      <w:i/>
      <w:iCs/>
    </w:rPr>
  </w:style>
  <w:style w:type="character" w:customStyle="1" w:styleId="productidrasubsection">
    <w:name w:val="productidrasubsection"/>
    <w:basedOn w:val="DefaultParagraphFont"/>
    <w:rsid w:val="001867E3"/>
  </w:style>
  <w:style w:type="paragraph" w:styleId="TOC1">
    <w:name w:val="toc 1"/>
    <w:basedOn w:val="Normal"/>
    <w:next w:val="Normal"/>
    <w:autoRedefine/>
    <w:rsid w:val="003C3EE2"/>
    <w:pPr>
      <w:spacing w:after="100"/>
    </w:pPr>
  </w:style>
  <w:style w:type="paragraph" w:styleId="ListParagraph">
    <w:name w:val="List Paragraph"/>
    <w:basedOn w:val="Normal"/>
    <w:uiPriority w:val="99"/>
    <w:qFormat/>
    <w:rsid w:val="007923D0"/>
    <w:pPr>
      <w:ind w:left="720"/>
      <w:contextualSpacing/>
    </w:pPr>
  </w:style>
  <w:style w:type="paragraph" w:styleId="FootnoteText">
    <w:name w:val="footnote text"/>
    <w:basedOn w:val="Normal"/>
    <w:link w:val="FootnoteTextChar"/>
    <w:rsid w:val="00E27CC2"/>
    <w:rPr>
      <w:sz w:val="20"/>
    </w:rPr>
  </w:style>
  <w:style w:type="character" w:customStyle="1" w:styleId="FootnoteTextChar">
    <w:name w:val="Footnote Text Char"/>
    <w:basedOn w:val="DefaultParagraphFont"/>
    <w:link w:val="FootnoteText"/>
    <w:rsid w:val="00E27CC2"/>
    <w:rPr>
      <w:sz w:val="20"/>
    </w:rPr>
  </w:style>
  <w:style w:type="character" w:styleId="FootnoteReference">
    <w:name w:val="footnote reference"/>
    <w:basedOn w:val="DefaultParagraphFont"/>
    <w:rsid w:val="00B52D0E"/>
    <w:rPr>
      <w:vertAlign w:val="superscript"/>
    </w:rPr>
  </w:style>
  <w:style w:type="character" w:customStyle="1" w:styleId="CommentTextChar">
    <w:name w:val="Comment Text Char"/>
    <w:basedOn w:val="DefaultParagraphFont"/>
    <w:link w:val="CommentText"/>
    <w:uiPriority w:val="99"/>
    <w:rsid w:val="00B52D0E"/>
  </w:style>
  <w:style w:type="character" w:customStyle="1" w:styleId="BodyTextChar">
    <w:name w:val="Body Text Char"/>
    <w:basedOn w:val="DefaultParagraphFont"/>
    <w:link w:val="BodyText"/>
    <w:uiPriority w:val="99"/>
    <w:rsid w:val="00AD62D0"/>
    <w:rPr>
      <w:sz w:val="24"/>
      <w:szCs w:val="24"/>
    </w:rPr>
  </w:style>
  <w:style w:type="paragraph" w:styleId="Revision">
    <w:name w:val="Revision"/>
    <w:hidden/>
    <w:uiPriority w:val="99"/>
    <w:semiHidden/>
    <w:rsid w:val="005F7E78"/>
  </w:style>
  <w:style w:type="character" w:customStyle="1" w:styleId="BodyTextFirstIndentChar">
    <w:name w:val="Body Text First Indent Char"/>
    <w:basedOn w:val="DefaultParagraphFont"/>
    <w:link w:val="BodyTextFirstIndent"/>
    <w:uiPriority w:val="99"/>
    <w:locked/>
    <w:rsid w:val="00C31D62"/>
    <w:rPr>
      <w:sz w:val="24"/>
      <w:szCs w:val="24"/>
    </w:rPr>
  </w:style>
  <w:style w:type="character" w:customStyle="1" w:styleId="Heading6Char">
    <w:name w:val="Heading 6 Char"/>
    <w:basedOn w:val="DefaultParagraphFont"/>
    <w:link w:val="Heading6"/>
    <w:uiPriority w:val="99"/>
    <w:locked/>
    <w:rsid w:val="00AC07DC"/>
    <w:rPr>
      <w:rFonts w:ascii="Arial Narrow" w:hAnsi="Arial Narrow"/>
      <w:b/>
      <w:bCs/>
    </w:rPr>
  </w:style>
  <w:style w:type="paragraph" w:styleId="Caption">
    <w:name w:val="caption"/>
    <w:basedOn w:val="Normal"/>
    <w:next w:val="Normal"/>
    <w:uiPriority w:val="99"/>
    <w:qFormat/>
    <w:rsid w:val="0063252B"/>
    <w:pPr>
      <w:spacing w:after="200"/>
    </w:pPr>
    <w:rPr>
      <w:b/>
      <w:bCs/>
      <w:color w:val="4F81BD"/>
      <w:sz w:val="18"/>
      <w:szCs w:val="18"/>
    </w:rPr>
  </w:style>
  <w:style w:type="character" w:customStyle="1" w:styleId="productidrasubsection1">
    <w:name w:val="productidrasubsection1"/>
    <w:basedOn w:val="DefaultParagraphFont"/>
    <w:rsid w:val="00FB2252"/>
    <w:rPr>
      <w:rFonts w:ascii="Georgia" w:hAnsi="Georgia" w:hint="default"/>
      <w:b/>
      <w:bCs/>
      <w:color w:val="000000"/>
      <w:sz w:val="30"/>
      <w:szCs w:val="30"/>
    </w:rPr>
  </w:style>
  <w:style w:type="paragraph" w:styleId="NoSpacing">
    <w:name w:val="No Spacing"/>
    <w:uiPriority w:val="1"/>
    <w:qFormat/>
    <w:rsid w:val="00664768"/>
    <w:pPr>
      <w:jc w:val="center"/>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F1777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1777F"/>
    <w:rPr>
      <w:rFonts w:ascii="Consolas" w:eastAsiaTheme="minorHAnsi" w:hAnsi="Consolas" w:cstheme="minorBidi"/>
      <w:sz w:val="21"/>
      <w:szCs w:val="21"/>
    </w:rPr>
  </w:style>
  <w:style w:type="table" w:customStyle="1" w:styleId="TableGrid1">
    <w:name w:val="Table Grid1"/>
    <w:basedOn w:val="TableNormal"/>
    <w:next w:val="TableGrid"/>
    <w:rsid w:val="000C3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hor">
    <w:name w:val="author"/>
    <w:basedOn w:val="DefaultParagraphFont"/>
    <w:rsid w:val="0094245B"/>
  </w:style>
  <w:style w:type="character" w:customStyle="1" w:styleId="pubyear">
    <w:name w:val="pubyear"/>
    <w:basedOn w:val="DefaultParagraphFont"/>
    <w:rsid w:val="0094245B"/>
  </w:style>
  <w:style w:type="character" w:customStyle="1" w:styleId="articletitle">
    <w:name w:val="articletitle"/>
    <w:basedOn w:val="DefaultParagraphFont"/>
    <w:rsid w:val="0094245B"/>
  </w:style>
  <w:style w:type="character" w:customStyle="1" w:styleId="vol">
    <w:name w:val="vol"/>
    <w:basedOn w:val="DefaultParagraphFont"/>
    <w:rsid w:val="0094245B"/>
  </w:style>
  <w:style w:type="table" w:customStyle="1" w:styleId="TableGrid2">
    <w:name w:val="Table Grid2"/>
    <w:basedOn w:val="TableNormal"/>
    <w:next w:val="TableGrid"/>
    <w:uiPriority w:val="39"/>
    <w:rsid w:val="007720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EMSTITLE">
    <w:name w:val="POEMS TITLE"/>
    <w:basedOn w:val="Normal"/>
    <w:next w:val="Normal"/>
    <w:rsid w:val="00003212"/>
    <w:pPr>
      <w:shd w:val="clear" w:color="auto" w:fill="000000"/>
      <w:spacing w:before="60" w:after="40"/>
      <w:jc w:val="center"/>
    </w:pPr>
    <w:rPr>
      <w:b/>
      <w:bCs/>
      <w:shd w:val="clear" w:color="auto" w:fill="000000"/>
    </w:rPr>
  </w:style>
  <w:style w:type="character" w:customStyle="1" w:styleId="POEMSEXSUMLead">
    <w:name w:val="POEMS EXSUM Lead"/>
    <w:basedOn w:val="DefaultParagraphFont"/>
    <w:uiPriority w:val="1"/>
    <w:qFormat/>
    <w:rsid w:val="00007DE3"/>
    <w:rPr>
      <w:rFonts w:ascii="Arial" w:hAnsi="Arial"/>
      <w:b/>
      <w:bCs/>
      <w:color w:val="auto"/>
      <w:sz w:val="24"/>
      <w:u w:val="single"/>
    </w:rPr>
  </w:style>
  <w:style w:type="paragraph" w:customStyle="1" w:styleId="paragraph">
    <w:name w:val="paragraph"/>
    <w:basedOn w:val="Normal"/>
    <w:rsid w:val="0017257F"/>
    <w:pPr>
      <w:spacing w:before="100" w:beforeAutospacing="1" w:after="100" w:afterAutospacing="1"/>
    </w:pPr>
  </w:style>
  <w:style w:type="character" w:customStyle="1" w:styleId="normaltextrun">
    <w:name w:val="normaltextrun"/>
    <w:basedOn w:val="DefaultParagraphFont"/>
    <w:rsid w:val="0017257F"/>
  </w:style>
  <w:style w:type="character" w:customStyle="1" w:styleId="eop">
    <w:name w:val="eop"/>
    <w:basedOn w:val="DefaultParagraphFont"/>
    <w:rsid w:val="0017257F"/>
  </w:style>
  <w:style w:type="character" w:customStyle="1" w:styleId="contextualspellingandgrammarerror">
    <w:name w:val="contextualspellingandgrammarerror"/>
    <w:basedOn w:val="DefaultParagraphFont"/>
    <w:rsid w:val="0017257F"/>
  </w:style>
  <w:style w:type="character" w:customStyle="1" w:styleId="Heading5Char">
    <w:name w:val="Heading 5 Char"/>
    <w:basedOn w:val="DefaultParagraphFont"/>
    <w:link w:val="Heading5"/>
    <w:semiHidden/>
    <w:rsid w:val="0010791E"/>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semiHidden/>
    <w:rsid w:val="001079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1079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0791E"/>
    <w:rPr>
      <w:rFonts w:asciiTheme="majorHAnsi" w:eastAsiaTheme="majorEastAsia" w:hAnsiTheme="majorHAnsi" w:cstheme="majorBidi"/>
      <w:i/>
      <w:iCs/>
      <w:color w:val="272727" w:themeColor="text1" w:themeTint="D8"/>
      <w:sz w:val="21"/>
      <w:szCs w:val="21"/>
    </w:rPr>
  </w:style>
  <w:style w:type="paragraph" w:customStyle="1" w:styleId="StyleListParagraphSubscript">
    <w:name w:val="Style List Paragraph + Subscript"/>
    <w:basedOn w:val="ListParagraph"/>
    <w:rsid w:val="00154504"/>
    <w:rPr>
      <w:position w:val="-6"/>
      <w:vertAlign w:val="subscript"/>
    </w:rPr>
  </w:style>
  <w:style w:type="character" w:customStyle="1" w:styleId="StyleSubscript">
    <w:name w:val="Style Subscript"/>
    <w:basedOn w:val="DefaultParagraphFont"/>
    <w:rsid w:val="00424231"/>
    <w:rPr>
      <w:position w:val="-6"/>
      <w:vertAlign w:val="subscript"/>
    </w:rPr>
  </w:style>
  <w:style w:type="character" w:styleId="UnresolvedMention">
    <w:name w:val="Unresolved Mention"/>
    <w:basedOn w:val="DefaultParagraphFont"/>
    <w:uiPriority w:val="99"/>
    <w:semiHidden/>
    <w:unhideWhenUsed/>
    <w:rsid w:val="00AD6AA3"/>
    <w:rPr>
      <w:color w:val="605E5C"/>
      <w:shd w:val="clear" w:color="auto" w:fill="E1DFDD"/>
    </w:rPr>
  </w:style>
  <w:style w:type="character" w:customStyle="1" w:styleId="ui-provider">
    <w:name w:val="ui-provider"/>
    <w:basedOn w:val="DefaultParagraphFont"/>
    <w:rsid w:val="006B6903"/>
  </w:style>
  <w:style w:type="character" w:customStyle="1" w:styleId="Heading2Char">
    <w:name w:val="Heading 2 Char"/>
    <w:basedOn w:val="DefaultParagraphFont"/>
    <w:link w:val="Heading2"/>
    <w:rsid w:val="00580B36"/>
    <w:rPr>
      <w:bCs/>
      <w:iCs/>
      <w:shd w:val="clear" w:color="auto" w:fill="D9D9D9" w:themeFill="background1" w:themeFillShade="D9"/>
    </w:rPr>
  </w:style>
  <w:style w:type="character" w:customStyle="1" w:styleId="Heading3Char">
    <w:name w:val="Heading 3 Char"/>
    <w:basedOn w:val="DefaultParagraphFont"/>
    <w:link w:val="Heading3"/>
    <w:rsid w:val="00B55010"/>
    <w:rPr>
      <w:color w:val="000000" w:themeColor="text1"/>
      <w:szCs w:val="26"/>
    </w:rPr>
  </w:style>
  <w:style w:type="character" w:customStyle="1" w:styleId="visiblyhidden">
    <w:name w:val="visiblyhidden"/>
    <w:basedOn w:val="DefaultParagraphFont"/>
    <w:rsid w:val="00C05165"/>
  </w:style>
  <w:style w:type="character" w:customStyle="1" w:styleId="cf01">
    <w:name w:val="cf01"/>
    <w:basedOn w:val="DefaultParagraphFont"/>
    <w:rsid w:val="0028034E"/>
    <w:rPr>
      <w:rFonts w:ascii="Segoe UI" w:hAnsi="Segoe UI" w:cs="Segoe UI" w:hint="default"/>
      <w:sz w:val="18"/>
      <w:szCs w:val="18"/>
    </w:rPr>
  </w:style>
  <w:style w:type="paragraph" w:customStyle="1" w:styleId="pf0">
    <w:name w:val="pf0"/>
    <w:basedOn w:val="Normal"/>
    <w:rsid w:val="00EB334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0995">
      <w:bodyDiv w:val="1"/>
      <w:marLeft w:val="0"/>
      <w:marRight w:val="0"/>
      <w:marTop w:val="0"/>
      <w:marBottom w:val="0"/>
      <w:divBdr>
        <w:top w:val="none" w:sz="0" w:space="0" w:color="auto"/>
        <w:left w:val="none" w:sz="0" w:space="0" w:color="auto"/>
        <w:bottom w:val="none" w:sz="0" w:space="0" w:color="auto"/>
        <w:right w:val="none" w:sz="0" w:space="0" w:color="auto"/>
      </w:divBdr>
    </w:div>
    <w:div w:id="200872839">
      <w:bodyDiv w:val="1"/>
      <w:marLeft w:val="0"/>
      <w:marRight w:val="0"/>
      <w:marTop w:val="0"/>
      <w:marBottom w:val="0"/>
      <w:divBdr>
        <w:top w:val="none" w:sz="0" w:space="0" w:color="auto"/>
        <w:left w:val="none" w:sz="0" w:space="0" w:color="auto"/>
        <w:bottom w:val="none" w:sz="0" w:space="0" w:color="auto"/>
        <w:right w:val="none" w:sz="0" w:space="0" w:color="auto"/>
      </w:divBdr>
    </w:div>
    <w:div w:id="253169310">
      <w:bodyDiv w:val="1"/>
      <w:marLeft w:val="0"/>
      <w:marRight w:val="0"/>
      <w:marTop w:val="0"/>
      <w:marBottom w:val="0"/>
      <w:divBdr>
        <w:top w:val="none" w:sz="0" w:space="0" w:color="auto"/>
        <w:left w:val="none" w:sz="0" w:space="0" w:color="auto"/>
        <w:bottom w:val="none" w:sz="0" w:space="0" w:color="auto"/>
        <w:right w:val="none" w:sz="0" w:space="0" w:color="auto"/>
      </w:divBdr>
    </w:div>
    <w:div w:id="481241069">
      <w:bodyDiv w:val="1"/>
      <w:marLeft w:val="0"/>
      <w:marRight w:val="0"/>
      <w:marTop w:val="0"/>
      <w:marBottom w:val="0"/>
      <w:divBdr>
        <w:top w:val="none" w:sz="0" w:space="0" w:color="auto"/>
        <w:left w:val="none" w:sz="0" w:space="0" w:color="auto"/>
        <w:bottom w:val="none" w:sz="0" w:space="0" w:color="auto"/>
        <w:right w:val="none" w:sz="0" w:space="0" w:color="auto"/>
      </w:divBdr>
    </w:div>
    <w:div w:id="712659262">
      <w:bodyDiv w:val="1"/>
      <w:marLeft w:val="0"/>
      <w:marRight w:val="0"/>
      <w:marTop w:val="0"/>
      <w:marBottom w:val="0"/>
      <w:divBdr>
        <w:top w:val="none" w:sz="0" w:space="0" w:color="auto"/>
        <w:left w:val="none" w:sz="0" w:space="0" w:color="auto"/>
        <w:bottom w:val="none" w:sz="0" w:space="0" w:color="auto"/>
        <w:right w:val="none" w:sz="0" w:space="0" w:color="auto"/>
      </w:divBdr>
    </w:div>
    <w:div w:id="886721704">
      <w:bodyDiv w:val="1"/>
      <w:marLeft w:val="0"/>
      <w:marRight w:val="0"/>
      <w:marTop w:val="0"/>
      <w:marBottom w:val="0"/>
      <w:divBdr>
        <w:top w:val="none" w:sz="0" w:space="0" w:color="auto"/>
        <w:left w:val="none" w:sz="0" w:space="0" w:color="auto"/>
        <w:bottom w:val="none" w:sz="0" w:space="0" w:color="auto"/>
        <w:right w:val="none" w:sz="0" w:space="0" w:color="auto"/>
      </w:divBdr>
    </w:div>
    <w:div w:id="927612486">
      <w:bodyDiv w:val="1"/>
      <w:marLeft w:val="0"/>
      <w:marRight w:val="0"/>
      <w:marTop w:val="0"/>
      <w:marBottom w:val="0"/>
      <w:divBdr>
        <w:top w:val="none" w:sz="0" w:space="0" w:color="auto"/>
        <w:left w:val="none" w:sz="0" w:space="0" w:color="auto"/>
        <w:bottom w:val="none" w:sz="0" w:space="0" w:color="auto"/>
        <w:right w:val="none" w:sz="0" w:space="0" w:color="auto"/>
      </w:divBdr>
    </w:div>
    <w:div w:id="951863492">
      <w:bodyDiv w:val="1"/>
      <w:marLeft w:val="0"/>
      <w:marRight w:val="0"/>
      <w:marTop w:val="0"/>
      <w:marBottom w:val="0"/>
      <w:divBdr>
        <w:top w:val="none" w:sz="0" w:space="0" w:color="auto"/>
        <w:left w:val="none" w:sz="0" w:space="0" w:color="auto"/>
        <w:bottom w:val="none" w:sz="0" w:space="0" w:color="auto"/>
        <w:right w:val="none" w:sz="0" w:space="0" w:color="auto"/>
      </w:divBdr>
    </w:div>
    <w:div w:id="1008143835">
      <w:bodyDiv w:val="1"/>
      <w:marLeft w:val="0"/>
      <w:marRight w:val="0"/>
      <w:marTop w:val="0"/>
      <w:marBottom w:val="0"/>
      <w:divBdr>
        <w:top w:val="none" w:sz="0" w:space="0" w:color="auto"/>
        <w:left w:val="none" w:sz="0" w:space="0" w:color="auto"/>
        <w:bottom w:val="none" w:sz="0" w:space="0" w:color="auto"/>
        <w:right w:val="none" w:sz="0" w:space="0" w:color="auto"/>
      </w:divBdr>
    </w:div>
    <w:div w:id="1080250065">
      <w:bodyDiv w:val="1"/>
      <w:marLeft w:val="0"/>
      <w:marRight w:val="0"/>
      <w:marTop w:val="0"/>
      <w:marBottom w:val="0"/>
      <w:divBdr>
        <w:top w:val="none" w:sz="0" w:space="0" w:color="auto"/>
        <w:left w:val="none" w:sz="0" w:space="0" w:color="auto"/>
        <w:bottom w:val="none" w:sz="0" w:space="0" w:color="auto"/>
        <w:right w:val="none" w:sz="0" w:space="0" w:color="auto"/>
      </w:divBdr>
    </w:div>
    <w:div w:id="1117602185">
      <w:bodyDiv w:val="1"/>
      <w:marLeft w:val="0"/>
      <w:marRight w:val="0"/>
      <w:marTop w:val="0"/>
      <w:marBottom w:val="0"/>
      <w:divBdr>
        <w:top w:val="none" w:sz="0" w:space="0" w:color="auto"/>
        <w:left w:val="none" w:sz="0" w:space="0" w:color="auto"/>
        <w:bottom w:val="none" w:sz="0" w:space="0" w:color="auto"/>
        <w:right w:val="none" w:sz="0" w:space="0" w:color="auto"/>
      </w:divBdr>
    </w:div>
    <w:div w:id="1339037103">
      <w:bodyDiv w:val="1"/>
      <w:marLeft w:val="0"/>
      <w:marRight w:val="0"/>
      <w:marTop w:val="0"/>
      <w:marBottom w:val="0"/>
      <w:divBdr>
        <w:top w:val="none" w:sz="0" w:space="0" w:color="auto"/>
        <w:left w:val="none" w:sz="0" w:space="0" w:color="auto"/>
        <w:bottom w:val="none" w:sz="0" w:space="0" w:color="auto"/>
        <w:right w:val="none" w:sz="0" w:space="0" w:color="auto"/>
      </w:divBdr>
    </w:div>
    <w:div w:id="1389956139">
      <w:bodyDiv w:val="1"/>
      <w:marLeft w:val="0"/>
      <w:marRight w:val="0"/>
      <w:marTop w:val="0"/>
      <w:marBottom w:val="0"/>
      <w:divBdr>
        <w:top w:val="none" w:sz="0" w:space="0" w:color="auto"/>
        <w:left w:val="none" w:sz="0" w:space="0" w:color="auto"/>
        <w:bottom w:val="none" w:sz="0" w:space="0" w:color="auto"/>
        <w:right w:val="none" w:sz="0" w:space="0" w:color="auto"/>
      </w:divBdr>
    </w:div>
    <w:div w:id="1402369409">
      <w:bodyDiv w:val="1"/>
      <w:marLeft w:val="0"/>
      <w:marRight w:val="0"/>
      <w:marTop w:val="0"/>
      <w:marBottom w:val="0"/>
      <w:divBdr>
        <w:top w:val="none" w:sz="0" w:space="0" w:color="auto"/>
        <w:left w:val="none" w:sz="0" w:space="0" w:color="auto"/>
        <w:bottom w:val="none" w:sz="0" w:space="0" w:color="auto"/>
        <w:right w:val="none" w:sz="0" w:space="0" w:color="auto"/>
      </w:divBdr>
    </w:div>
    <w:div w:id="1410227319">
      <w:bodyDiv w:val="1"/>
      <w:marLeft w:val="0"/>
      <w:marRight w:val="0"/>
      <w:marTop w:val="0"/>
      <w:marBottom w:val="0"/>
      <w:divBdr>
        <w:top w:val="none" w:sz="0" w:space="0" w:color="auto"/>
        <w:left w:val="none" w:sz="0" w:space="0" w:color="auto"/>
        <w:bottom w:val="none" w:sz="0" w:space="0" w:color="auto"/>
        <w:right w:val="none" w:sz="0" w:space="0" w:color="auto"/>
      </w:divBdr>
    </w:div>
    <w:div w:id="1471167637">
      <w:bodyDiv w:val="1"/>
      <w:marLeft w:val="0"/>
      <w:marRight w:val="0"/>
      <w:marTop w:val="0"/>
      <w:marBottom w:val="0"/>
      <w:divBdr>
        <w:top w:val="none" w:sz="0" w:space="0" w:color="auto"/>
        <w:left w:val="none" w:sz="0" w:space="0" w:color="auto"/>
        <w:bottom w:val="none" w:sz="0" w:space="0" w:color="auto"/>
        <w:right w:val="none" w:sz="0" w:space="0" w:color="auto"/>
      </w:divBdr>
    </w:div>
    <w:div w:id="1538734244">
      <w:bodyDiv w:val="1"/>
      <w:marLeft w:val="0"/>
      <w:marRight w:val="0"/>
      <w:marTop w:val="0"/>
      <w:marBottom w:val="0"/>
      <w:divBdr>
        <w:top w:val="none" w:sz="0" w:space="0" w:color="auto"/>
        <w:left w:val="none" w:sz="0" w:space="0" w:color="auto"/>
        <w:bottom w:val="none" w:sz="0" w:space="0" w:color="auto"/>
        <w:right w:val="none" w:sz="0" w:space="0" w:color="auto"/>
      </w:divBdr>
    </w:div>
    <w:div w:id="1643466182">
      <w:bodyDiv w:val="1"/>
      <w:marLeft w:val="0"/>
      <w:marRight w:val="0"/>
      <w:marTop w:val="0"/>
      <w:marBottom w:val="0"/>
      <w:divBdr>
        <w:top w:val="none" w:sz="0" w:space="0" w:color="auto"/>
        <w:left w:val="none" w:sz="0" w:space="0" w:color="auto"/>
        <w:bottom w:val="none" w:sz="0" w:space="0" w:color="auto"/>
        <w:right w:val="none" w:sz="0" w:space="0" w:color="auto"/>
      </w:divBdr>
    </w:div>
    <w:div w:id="1685203290">
      <w:bodyDiv w:val="1"/>
      <w:marLeft w:val="0"/>
      <w:marRight w:val="0"/>
      <w:marTop w:val="0"/>
      <w:marBottom w:val="0"/>
      <w:divBdr>
        <w:top w:val="none" w:sz="0" w:space="0" w:color="auto"/>
        <w:left w:val="none" w:sz="0" w:space="0" w:color="auto"/>
        <w:bottom w:val="none" w:sz="0" w:space="0" w:color="auto"/>
        <w:right w:val="none" w:sz="0" w:space="0" w:color="auto"/>
      </w:divBdr>
    </w:div>
    <w:div w:id="1891454049">
      <w:bodyDiv w:val="1"/>
      <w:marLeft w:val="0"/>
      <w:marRight w:val="0"/>
      <w:marTop w:val="0"/>
      <w:marBottom w:val="0"/>
      <w:divBdr>
        <w:top w:val="none" w:sz="0" w:space="0" w:color="auto"/>
        <w:left w:val="none" w:sz="0" w:space="0" w:color="auto"/>
        <w:bottom w:val="none" w:sz="0" w:space="0" w:color="auto"/>
        <w:right w:val="none" w:sz="0" w:space="0" w:color="auto"/>
      </w:divBdr>
    </w:div>
    <w:div w:id="1945840582">
      <w:bodyDiv w:val="1"/>
      <w:marLeft w:val="0"/>
      <w:marRight w:val="0"/>
      <w:marTop w:val="0"/>
      <w:marBottom w:val="0"/>
      <w:divBdr>
        <w:top w:val="none" w:sz="0" w:space="0" w:color="auto"/>
        <w:left w:val="none" w:sz="0" w:space="0" w:color="auto"/>
        <w:bottom w:val="none" w:sz="0" w:space="0" w:color="auto"/>
        <w:right w:val="none" w:sz="0" w:space="0" w:color="auto"/>
      </w:divBdr>
      <w:divsChild>
        <w:div w:id="304313831">
          <w:marLeft w:val="0"/>
          <w:marRight w:val="0"/>
          <w:marTop w:val="0"/>
          <w:marBottom w:val="0"/>
          <w:divBdr>
            <w:top w:val="none" w:sz="0" w:space="0" w:color="auto"/>
            <w:left w:val="none" w:sz="0" w:space="0" w:color="auto"/>
            <w:bottom w:val="none" w:sz="0" w:space="0" w:color="auto"/>
            <w:right w:val="none" w:sz="0" w:space="0" w:color="auto"/>
          </w:divBdr>
        </w:div>
        <w:div w:id="346441665">
          <w:marLeft w:val="0"/>
          <w:marRight w:val="0"/>
          <w:marTop w:val="0"/>
          <w:marBottom w:val="0"/>
          <w:divBdr>
            <w:top w:val="none" w:sz="0" w:space="0" w:color="auto"/>
            <w:left w:val="none" w:sz="0" w:space="0" w:color="auto"/>
            <w:bottom w:val="none" w:sz="0" w:space="0" w:color="auto"/>
            <w:right w:val="none" w:sz="0" w:space="0" w:color="auto"/>
          </w:divBdr>
        </w:div>
        <w:div w:id="1428232199">
          <w:marLeft w:val="0"/>
          <w:marRight w:val="0"/>
          <w:marTop w:val="0"/>
          <w:marBottom w:val="0"/>
          <w:divBdr>
            <w:top w:val="none" w:sz="0" w:space="0" w:color="auto"/>
            <w:left w:val="none" w:sz="0" w:space="0" w:color="auto"/>
            <w:bottom w:val="none" w:sz="0" w:space="0" w:color="auto"/>
            <w:right w:val="none" w:sz="0" w:space="0" w:color="auto"/>
          </w:divBdr>
        </w:div>
        <w:div w:id="1567569366">
          <w:marLeft w:val="0"/>
          <w:marRight w:val="0"/>
          <w:marTop w:val="0"/>
          <w:marBottom w:val="0"/>
          <w:divBdr>
            <w:top w:val="none" w:sz="0" w:space="0" w:color="auto"/>
            <w:left w:val="none" w:sz="0" w:space="0" w:color="auto"/>
            <w:bottom w:val="none" w:sz="0" w:space="0" w:color="auto"/>
            <w:right w:val="none" w:sz="0" w:space="0" w:color="auto"/>
          </w:divBdr>
        </w:div>
        <w:div w:id="1595433611">
          <w:marLeft w:val="0"/>
          <w:marRight w:val="0"/>
          <w:marTop w:val="0"/>
          <w:marBottom w:val="0"/>
          <w:divBdr>
            <w:top w:val="none" w:sz="0" w:space="0" w:color="auto"/>
            <w:left w:val="none" w:sz="0" w:space="0" w:color="auto"/>
            <w:bottom w:val="none" w:sz="0" w:space="0" w:color="auto"/>
            <w:right w:val="none" w:sz="0" w:space="0" w:color="auto"/>
          </w:divBdr>
        </w:div>
        <w:div w:id="1606301933">
          <w:marLeft w:val="0"/>
          <w:marRight w:val="0"/>
          <w:marTop w:val="0"/>
          <w:marBottom w:val="0"/>
          <w:divBdr>
            <w:top w:val="none" w:sz="0" w:space="0" w:color="auto"/>
            <w:left w:val="none" w:sz="0" w:space="0" w:color="auto"/>
            <w:bottom w:val="none" w:sz="0" w:space="0" w:color="auto"/>
            <w:right w:val="none" w:sz="0" w:space="0" w:color="auto"/>
          </w:divBdr>
        </w:div>
        <w:div w:id="2080637057">
          <w:marLeft w:val="0"/>
          <w:marRight w:val="0"/>
          <w:marTop w:val="0"/>
          <w:marBottom w:val="0"/>
          <w:divBdr>
            <w:top w:val="none" w:sz="0" w:space="0" w:color="auto"/>
            <w:left w:val="none" w:sz="0" w:space="0" w:color="auto"/>
            <w:bottom w:val="none" w:sz="0" w:space="0" w:color="auto"/>
            <w:right w:val="none" w:sz="0" w:space="0" w:color="auto"/>
          </w:divBdr>
        </w:div>
      </w:divsChild>
    </w:div>
    <w:div w:id="1950432545">
      <w:bodyDiv w:val="1"/>
      <w:marLeft w:val="0"/>
      <w:marRight w:val="0"/>
      <w:marTop w:val="0"/>
      <w:marBottom w:val="0"/>
      <w:divBdr>
        <w:top w:val="none" w:sz="0" w:space="0" w:color="auto"/>
        <w:left w:val="none" w:sz="0" w:space="0" w:color="auto"/>
        <w:bottom w:val="none" w:sz="0" w:space="0" w:color="auto"/>
        <w:right w:val="none" w:sz="0" w:space="0" w:color="auto"/>
      </w:divBdr>
    </w:div>
    <w:div w:id="1976986175">
      <w:bodyDiv w:val="1"/>
      <w:marLeft w:val="0"/>
      <w:marRight w:val="0"/>
      <w:marTop w:val="0"/>
      <w:marBottom w:val="0"/>
      <w:divBdr>
        <w:top w:val="none" w:sz="0" w:space="0" w:color="auto"/>
        <w:left w:val="none" w:sz="0" w:space="0" w:color="auto"/>
        <w:bottom w:val="none" w:sz="0" w:space="0" w:color="auto"/>
        <w:right w:val="none" w:sz="0" w:space="0" w:color="auto"/>
      </w:divBdr>
    </w:div>
    <w:div w:id="2067485729">
      <w:bodyDiv w:val="1"/>
      <w:marLeft w:val="0"/>
      <w:marRight w:val="0"/>
      <w:marTop w:val="0"/>
      <w:marBottom w:val="0"/>
      <w:divBdr>
        <w:top w:val="none" w:sz="0" w:space="0" w:color="auto"/>
        <w:left w:val="none" w:sz="0" w:space="0" w:color="auto"/>
        <w:bottom w:val="none" w:sz="0" w:space="0" w:color="auto"/>
        <w:right w:val="none" w:sz="0" w:space="0" w:color="auto"/>
      </w:divBdr>
    </w:div>
    <w:div w:id="21362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climate.af.mil/" TargetMode="External"/><Relationship Id="rId1" Type="http://schemas.openxmlformats.org/officeDocument/2006/relationships/hyperlink" Target="https://www.climatestotravel.com"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veteran.mobilehealth.va.gov/AHBurnPitRegistry/index.html" TargetMode="External"/><Relationship Id="rId26" Type="http://schemas.openxmlformats.org/officeDocument/2006/relationships/hyperlink" Target="https://wwwnc.cdc.gov/travel/" TargetMode="External"/><Relationship Id="rId3" Type="http://schemas.openxmlformats.org/officeDocument/2006/relationships/customXml" Target="../customXml/item3.xml"/><Relationship Id="rId21" Type="http://schemas.openxmlformats.org/officeDocument/2006/relationships/hyperlink" Target="https://doehrs-ih.csd.disa.mil/Doehrs/"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irnow.gov/sites/default/files/2020-05/aqi-technical-assistance-document-sept2018.pdf" TargetMode="External"/><Relationship Id="rId25" Type="http://schemas.openxmlformats.org/officeDocument/2006/relationships/hyperlink" Target="https://www.epa.gov/ground-level-ozone-pollution/ground-level-ozone-basic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eteran.mobilehealth.va.gov/AHBurnPitRegistry/index.html" TargetMode="External"/><Relationship Id="rId20" Type="http://schemas.openxmlformats.org/officeDocument/2006/relationships/hyperlink" Target="https://www.health.mil/Military-Health-Topics/Health-Readiness/Environmental-Exposures/VA-Airborne-Hazards-and-Open-Burn-Pit-Registry" TargetMode="External"/><Relationship Id="rId29" Type="http://schemas.openxmlformats.org/officeDocument/2006/relationships/hyperlink" Target="https://www.nationalacademies.org/our-work/respiratory-health-effects-of-airborne-hazards-exposures-in-the-southwest-asia-theater-of-military-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i.org/10.1029/2020MS002413" TargetMode="External"/><Relationship Id="rId32" Type="http://schemas.openxmlformats.org/officeDocument/2006/relationships/hyperlink" Target="https://www.afrl.af.mil/711HPW/USAFSAM/"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nationalacademies.org/our-work/reassessment-of-the-department-of-veterans-affairs-airborne-hazards-and-open-burn-pit-registry" TargetMode="External"/><Relationship Id="rId28" Type="http://schemas.openxmlformats.org/officeDocument/2006/relationships/hyperlink" Target="https://nap.nationalacademies.org/catalog/13209/long-term-health-consequences-of-exposure-to-burn-pits-in-iraq-and-afghanistan"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ublichealth.va.gov/exposures/burnpits/index.asp" TargetMode="External"/><Relationship Id="rId31" Type="http://schemas.openxmlformats.org/officeDocument/2006/relationships/hyperlink" Target="https://www.med.navy.mil/Navy-and-Marine-Corps-Force-Health-Protection-Command/Pages/Hom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nap.nationalacademies.org/catalog/23677/assessment-of-the-department-of-veterans-affairs-airborne-hazards-and-open-burn-pit-registry" TargetMode="External"/><Relationship Id="rId27" Type="http://schemas.openxmlformats.org/officeDocument/2006/relationships/hyperlink" Target="https://www.travax.com/" TargetMode="External"/><Relationship Id="rId30" Type="http://schemas.openxmlformats.org/officeDocument/2006/relationships/hyperlink" Target="https://ph.health.mil/Pages/default.aspx"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Date_x0020_Published xmlns="e425d0ee-8049-446d-8d36-f3b66895ec60">2025-02-03T05:00:00+00:00</Date_x0020_Published>
    <APHCTopic xmlns="e425d0ee-8049-446d-8d36-f3b66895ec60" xsi:nil="tru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FOIA xmlns="e425d0ee-8049-446d-8d36-f3b66895ec60">false</FOIA>
    <Creator xmlns="e425d0ee-8049-446d-8d36-f3b66895ec60" xsi:nil="true"/>
    <TaxCatchAll xmlns="e425d0ee-8049-446d-8d36-f3b66895ec60">
      <Value>59</Value>
      <Value>115</Value>
      <Value>92</Value>
    </TaxCatchAll>
  </documentManagement>
</p:properties>
</file>

<file path=customXml/itemProps1.xml><?xml version="1.0" encoding="utf-8"?>
<ds:datastoreItem xmlns:ds="http://schemas.openxmlformats.org/officeDocument/2006/customXml" ds:itemID="{1E83D824-D7E1-4BE2-9961-4C415D13B5D5}">
  <ds:schemaRefs>
    <ds:schemaRef ds:uri="http://schemas.openxmlformats.org/officeDocument/2006/bibliography"/>
  </ds:schemaRefs>
</ds:datastoreItem>
</file>

<file path=customXml/itemProps2.xml><?xml version="1.0" encoding="utf-8"?>
<ds:datastoreItem xmlns:ds="http://schemas.openxmlformats.org/officeDocument/2006/customXml" ds:itemID="{3548D73F-61CB-48A6-B075-59925D3A25EC}">
  <ds:schemaRefs>
    <ds:schemaRef ds:uri="http://schemas.openxmlformats.org/officeDocument/2006/bibliography"/>
  </ds:schemaRefs>
</ds:datastoreItem>
</file>

<file path=customXml/itemProps3.xml><?xml version="1.0" encoding="utf-8"?>
<ds:datastoreItem xmlns:ds="http://schemas.openxmlformats.org/officeDocument/2006/customXml" ds:itemID="{AA31EE51-5306-4CA9-B305-1E456495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d0ee-8049-446d-8d36-f3b66895e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DEF50-92AD-45A4-A0F9-8BBBED11A9C3}">
  <ds:schemaRefs>
    <ds:schemaRef ds:uri="http://schemas.openxmlformats.org/officeDocument/2006/bibliography"/>
  </ds:schemaRefs>
</ds:datastoreItem>
</file>

<file path=customXml/itemProps5.xml><?xml version="1.0" encoding="utf-8"?>
<ds:datastoreItem xmlns:ds="http://schemas.openxmlformats.org/officeDocument/2006/customXml" ds:itemID="{05BD2F13-9B36-4E71-9B33-356F583438D6}">
  <ds:schemaRefs>
    <ds:schemaRef ds:uri="http://schemas.microsoft.com/sharepoint/v3/contenttype/forms"/>
  </ds:schemaRefs>
</ds:datastoreItem>
</file>

<file path=customXml/itemProps6.xml><?xml version="1.0" encoding="utf-8"?>
<ds:datastoreItem xmlns:ds="http://schemas.openxmlformats.org/officeDocument/2006/customXml" ds:itemID="{32A0B074-292B-4D16-AE31-A37BF08C0800}">
  <ds:schemaRefs>
    <ds:schemaRef ds:uri="http://schemas.microsoft.com/office/2006/metadata/properties"/>
    <ds:schemaRef ds:uri="http://schemas.microsoft.com/office/infopath/2007/PartnerControls"/>
    <ds:schemaRef ds:uri="e425d0ee-8049-446d-8d36-f3b66895ec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20001</Words>
  <Characters>114011</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POEMS Guidance</vt:lpstr>
    </vt:vector>
  </TitlesOfParts>
  <Company/>
  <LinksUpToDate>false</LinksUpToDate>
  <CharactersWithSpaces>133745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POEMS Guidance</dc:title>
  <dc:subject/>
  <dc:creator/>
  <cp:keywords/>
  <cp:lastModifiedBy/>
  <cp:revision>1</cp:revision>
  <dcterms:created xsi:type="dcterms:W3CDTF">2025-02-14T18:09:00Z</dcterms:created>
  <dcterms:modified xsi:type="dcterms:W3CDTF">2025-03-03T21:26:00Z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59;#Unlimited Distribution|cebff999-845c-41ca-ad95-d0bac261d81d</vt:lpwstr>
  </property>
  <property fmtid="{D5CDD505-2E9C-101B-9397-08002B2CF9AE}" pid="6" name="FOIACategory">
    <vt:lpwstr/>
  </property>
  <property fmtid="{D5CDD505-2E9C-101B-9397-08002B2CF9AE}" pid="7" name="Series">
    <vt:lpwstr>92;#Not Applicable|e91c8f55-8b24-4850-af27-5a47660d2406</vt:lpwstr>
  </property>
  <property fmtid="{D5CDD505-2E9C-101B-9397-08002B2CF9AE}" pid="8" name="POEMSLocation">
    <vt:lpwstr/>
  </property>
  <property fmtid="{D5CDD505-2E9C-101B-9397-08002B2CF9AE}" pid="9" name="APHC Subject">
    <vt:lpwstr/>
  </property>
  <property fmtid="{D5CDD505-2E9C-101B-9397-08002B2CF9AE}" pid="10" name="g798d443651542dbba5514291d75ce06">
    <vt:lpwstr/>
  </property>
  <property fmtid="{D5CDD505-2E9C-101B-9397-08002B2CF9AE}" pid="11" name="Publisher">
    <vt:lpwstr/>
  </property>
  <property fmtid="{D5CDD505-2E9C-101B-9397-08002B2CF9AE}" pid="12" name="FileFormat">
    <vt:lpwstr>115;#MS Word|d8e607cb-2ce8-4aa0-a614-a66dccc3b56a</vt:lpwstr>
  </property>
</Properties>
</file>